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C37F" w14:textId="77777777" w:rsidR="006F6452" w:rsidRPr="0036210F" w:rsidRDefault="006F6452" w:rsidP="006F6452"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lang w:val="uk-UA"/>
        </w:rPr>
      </w:pPr>
      <w:r w:rsidRPr="0036210F">
        <w:rPr>
          <w:rFonts w:ascii="Times New Roman" w:hAnsi="Times New Roman"/>
          <w:b/>
          <w:lang w:val="uk-UA"/>
        </w:rPr>
        <w:t xml:space="preserve">Методи контролю та оцінювання знань/ </w:t>
      </w:r>
      <w:proofErr w:type="spellStart"/>
      <w:r w:rsidRPr="0036210F">
        <w:rPr>
          <w:rFonts w:ascii="Times New Roman" w:hAnsi="Times New Roman"/>
          <w:b/>
          <w:lang w:val="uk-UA"/>
        </w:rPr>
        <w:t>Methods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of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control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and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evaluation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of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knowledge</w:t>
      </w:r>
      <w:proofErr w:type="spellEnd"/>
    </w:p>
    <w:p w14:paraId="3964C590" w14:textId="77777777" w:rsidR="006F6452" w:rsidRPr="0036210F" w:rsidRDefault="006F6452" w:rsidP="006F6452">
      <w:pPr>
        <w:jc w:val="center"/>
        <w:rPr>
          <w:rFonts w:ascii="Times New Roman" w:hAnsi="Times New Roman"/>
          <w:b/>
          <w:lang w:val="uk-UA"/>
        </w:rPr>
      </w:pPr>
    </w:p>
    <w:p w14:paraId="69FC0AC3" w14:textId="77777777" w:rsidR="006F6452" w:rsidRPr="0036210F" w:rsidRDefault="006F6452" w:rsidP="006F6452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</w:rPr>
      </w:pPr>
      <w:r w:rsidRPr="0036210F">
        <w:rPr>
          <w:rFonts w:ascii="Times New Roman" w:hAnsi="Times New Roman"/>
          <w:lang w:val="uk-UA"/>
        </w:rPr>
        <w:t>В освітньому</w:t>
      </w:r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процесі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використовуються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такі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види</w:t>
      </w:r>
      <w:proofErr w:type="spellEnd"/>
      <w:r w:rsidRPr="0036210F">
        <w:rPr>
          <w:rFonts w:ascii="Times New Roman" w:hAnsi="Times New Roman"/>
        </w:rPr>
        <w:t xml:space="preserve"> контролю: </w:t>
      </w:r>
      <w:proofErr w:type="spellStart"/>
      <w:r w:rsidRPr="0036210F">
        <w:rPr>
          <w:rFonts w:ascii="Times New Roman" w:hAnsi="Times New Roman"/>
        </w:rPr>
        <w:t>вхідний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поточний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підсумковий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відстрочений</w:t>
      </w:r>
      <w:proofErr w:type="spellEnd"/>
      <w:r w:rsidRPr="0036210F">
        <w:rPr>
          <w:rFonts w:ascii="Times New Roman" w:hAnsi="Times New Roman"/>
        </w:rPr>
        <w:t>.</w:t>
      </w:r>
    </w:p>
    <w:p w14:paraId="0535D8CC" w14:textId="77777777" w:rsidR="006F6452" w:rsidRPr="0036210F" w:rsidRDefault="006F6452" w:rsidP="006F6452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  <w:b/>
          <w:bCs/>
          <w:lang w:val="uk-UA"/>
        </w:rPr>
      </w:pPr>
      <w:proofErr w:type="spellStart"/>
      <w:r w:rsidRPr="0036210F">
        <w:rPr>
          <w:rFonts w:ascii="Times New Roman" w:hAnsi="Times New Roman"/>
          <w:b/>
          <w:bCs/>
        </w:rPr>
        <w:t>Вхідний</w:t>
      </w:r>
      <w:proofErr w:type="spellEnd"/>
      <w:r w:rsidRPr="0036210F">
        <w:rPr>
          <w:rFonts w:ascii="Times New Roman" w:hAnsi="Times New Roman"/>
          <w:b/>
          <w:bCs/>
        </w:rPr>
        <w:t xml:space="preserve"> контроль</w:t>
      </w:r>
      <w:r w:rsidRPr="0036210F">
        <w:rPr>
          <w:rFonts w:ascii="Times New Roman" w:hAnsi="Times New Roman"/>
        </w:rPr>
        <w:t xml:space="preserve"> проводиться перед </w:t>
      </w:r>
      <w:proofErr w:type="spellStart"/>
      <w:r w:rsidRPr="0036210F">
        <w:rPr>
          <w:rFonts w:ascii="Times New Roman" w:hAnsi="Times New Roman"/>
        </w:rPr>
        <w:t>вивченням</w:t>
      </w:r>
      <w:proofErr w:type="spellEnd"/>
      <w:r w:rsidRPr="0036210F">
        <w:rPr>
          <w:rFonts w:ascii="Times New Roman" w:hAnsi="Times New Roman"/>
        </w:rPr>
        <w:t xml:space="preserve"> нового курсу з метою </w:t>
      </w:r>
      <w:proofErr w:type="spellStart"/>
      <w:r w:rsidRPr="0036210F">
        <w:rPr>
          <w:rFonts w:ascii="Times New Roman" w:hAnsi="Times New Roman"/>
        </w:rPr>
        <w:t>визначення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рівня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підготовки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здобувачів</w:t>
      </w:r>
      <w:proofErr w:type="spellEnd"/>
      <w:r w:rsidRPr="0036210F">
        <w:rPr>
          <w:rFonts w:ascii="Times New Roman" w:hAnsi="Times New Roman"/>
        </w:rPr>
        <w:t xml:space="preserve"> з</w:t>
      </w:r>
      <w:r w:rsidRPr="0036210F">
        <w:rPr>
          <w:rFonts w:ascii="Times New Roman" w:hAnsi="Times New Roman"/>
          <w:lang w:val="uk-UA"/>
        </w:rPr>
        <w:t>а</w:t>
      </w:r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</w:t>
      </w:r>
      <w:r w:rsidRPr="0036210F">
        <w:rPr>
          <w:rFonts w:ascii="Times New Roman" w:hAnsi="Times New Roman"/>
          <w:lang w:val="uk-UA"/>
        </w:rPr>
        <w:t>ою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що</w:t>
      </w:r>
      <w:proofErr w:type="spellEnd"/>
      <w:r w:rsidRPr="0036210F">
        <w:rPr>
          <w:rFonts w:ascii="Times New Roman" w:hAnsi="Times New Roman"/>
        </w:rPr>
        <w:t xml:space="preserve"> є основою для </w:t>
      </w:r>
      <w:proofErr w:type="spellStart"/>
      <w:r w:rsidRPr="0036210F">
        <w:rPr>
          <w:rFonts w:ascii="Times New Roman" w:hAnsi="Times New Roman"/>
        </w:rPr>
        <w:t>цього</w:t>
      </w:r>
      <w:proofErr w:type="spellEnd"/>
      <w:r w:rsidRPr="0036210F">
        <w:rPr>
          <w:rFonts w:ascii="Times New Roman" w:hAnsi="Times New Roman"/>
        </w:rPr>
        <w:t xml:space="preserve"> курсу.</w:t>
      </w:r>
    </w:p>
    <w:p w14:paraId="7DCACA8B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b/>
          <w:bCs/>
          <w:color w:val="000000"/>
          <w:lang w:val="uk-UA"/>
        </w:rPr>
        <w:t>Поточний контроль</w:t>
      </w:r>
      <w:r w:rsidRPr="0036210F">
        <w:rPr>
          <w:rFonts w:ascii="Times New Roman" w:hAnsi="Times New Roman"/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</w:rPr>
        <w:t>може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проводитись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викладачами</w:t>
      </w:r>
      <w:proofErr w:type="spellEnd"/>
      <w:r w:rsidRPr="0036210F">
        <w:rPr>
          <w:rFonts w:ascii="Times New Roman" w:hAnsi="Times New Roman"/>
        </w:rPr>
        <w:t xml:space="preserve"> на </w:t>
      </w:r>
      <w:proofErr w:type="spellStart"/>
      <w:r w:rsidRPr="0036210F">
        <w:rPr>
          <w:rFonts w:ascii="Times New Roman" w:hAnsi="Times New Roman"/>
        </w:rPr>
        <w:t>всіх</w:t>
      </w:r>
      <w:proofErr w:type="spellEnd"/>
      <w:r w:rsidRPr="0036210F">
        <w:rPr>
          <w:rFonts w:ascii="Times New Roman" w:hAnsi="Times New Roman"/>
        </w:rPr>
        <w:t xml:space="preserve"> видах </w:t>
      </w:r>
      <w:proofErr w:type="spellStart"/>
      <w:r w:rsidRPr="0036210F">
        <w:rPr>
          <w:rFonts w:ascii="Times New Roman" w:hAnsi="Times New Roman"/>
        </w:rPr>
        <w:t>аудиторних</w:t>
      </w:r>
      <w:proofErr w:type="spellEnd"/>
      <w:r w:rsidRPr="0036210F">
        <w:rPr>
          <w:rFonts w:ascii="Times New Roman" w:hAnsi="Times New Roman"/>
        </w:rPr>
        <w:t xml:space="preserve"> занять. </w:t>
      </w:r>
      <w:proofErr w:type="spellStart"/>
      <w:r w:rsidRPr="0036210F">
        <w:rPr>
          <w:rFonts w:ascii="Times New Roman" w:hAnsi="Times New Roman"/>
        </w:rPr>
        <w:t>Основне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завдання</w:t>
      </w:r>
      <w:proofErr w:type="spellEnd"/>
      <w:r w:rsidRPr="0036210F">
        <w:rPr>
          <w:rFonts w:ascii="Times New Roman" w:hAnsi="Times New Roman"/>
        </w:rPr>
        <w:t xml:space="preserve"> поточного контролю – </w:t>
      </w:r>
      <w:proofErr w:type="spellStart"/>
      <w:r w:rsidRPr="0036210F">
        <w:rPr>
          <w:rFonts w:ascii="Times New Roman" w:hAnsi="Times New Roman"/>
        </w:rPr>
        <w:t>перевірка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рівня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засвоєння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матеріалу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дисципліни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підготовка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здобувачів</w:t>
      </w:r>
      <w:proofErr w:type="spellEnd"/>
      <w:r w:rsidRPr="0036210F">
        <w:rPr>
          <w:rFonts w:ascii="Times New Roman" w:hAnsi="Times New Roman"/>
        </w:rPr>
        <w:t xml:space="preserve"> до </w:t>
      </w:r>
      <w:proofErr w:type="spellStart"/>
      <w:r w:rsidRPr="0036210F">
        <w:rPr>
          <w:rFonts w:ascii="Times New Roman" w:hAnsi="Times New Roman"/>
        </w:rPr>
        <w:t>виконання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конкретної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роботи</w:t>
      </w:r>
      <w:proofErr w:type="spellEnd"/>
      <w:r w:rsidRPr="0036210F">
        <w:rPr>
          <w:rFonts w:ascii="Times New Roman" w:hAnsi="Times New Roman"/>
        </w:rPr>
        <w:t xml:space="preserve">. </w:t>
      </w:r>
      <w:proofErr w:type="spellStart"/>
      <w:r w:rsidRPr="0036210F">
        <w:rPr>
          <w:rFonts w:ascii="Times New Roman" w:hAnsi="Times New Roman"/>
        </w:rPr>
        <w:t>Об’єктом</w:t>
      </w:r>
      <w:proofErr w:type="spellEnd"/>
      <w:r w:rsidRPr="0036210F">
        <w:rPr>
          <w:rFonts w:ascii="Times New Roman" w:hAnsi="Times New Roman"/>
        </w:rPr>
        <w:t xml:space="preserve"> поточного </w:t>
      </w:r>
      <w:proofErr w:type="spellStart"/>
      <w:r w:rsidRPr="0036210F">
        <w:rPr>
          <w:rFonts w:ascii="Times New Roman" w:hAnsi="Times New Roman"/>
        </w:rPr>
        <w:t>оцінювання</w:t>
      </w:r>
      <w:proofErr w:type="spellEnd"/>
      <w:r w:rsidRPr="0036210F">
        <w:rPr>
          <w:rFonts w:ascii="Times New Roman" w:hAnsi="Times New Roman"/>
        </w:rPr>
        <w:t xml:space="preserve"> є </w:t>
      </w:r>
      <w:proofErr w:type="spellStart"/>
      <w:r w:rsidRPr="0036210F">
        <w:rPr>
          <w:rFonts w:ascii="Times New Roman" w:hAnsi="Times New Roman"/>
        </w:rPr>
        <w:t>знання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окремих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складових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навчальної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дисципліни</w:t>
      </w:r>
      <w:proofErr w:type="spellEnd"/>
      <w:r w:rsidRPr="0036210F">
        <w:rPr>
          <w:rFonts w:ascii="Times New Roman" w:hAnsi="Times New Roman"/>
        </w:rPr>
        <w:t xml:space="preserve">: </w:t>
      </w:r>
    </w:p>
    <w:p w14:paraId="67C93ECA" w14:textId="77777777" w:rsidR="006F6452" w:rsidRPr="0036210F" w:rsidRDefault="006F6452" w:rsidP="006F6452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матеріалу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викладеного</w:t>
      </w:r>
      <w:proofErr w:type="spellEnd"/>
      <w:r w:rsidRPr="0036210F">
        <w:rPr>
          <w:rFonts w:ascii="Times New Roman" w:hAnsi="Times New Roman"/>
        </w:rPr>
        <w:t xml:space="preserve"> на </w:t>
      </w:r>
      <w:proofErr w:type="spellStart"/>
      <w:r w:rsidRPr="0036210F">
        <w:rPr>
          <w:rFonts w:ascii="Times New Roman" w:hAnsi="Times New Roman"/>
        </w:rPr>
        <w:t>лекціях</w:t>
      </w:r>
      <w:proofErr w:type="spellEnd"/>
      <w:r w:rsidRPr="0036210F">
        <w:rPr>
          <w:rFonts w:ascii="Times New Roman" w:hAnsi="Times New Roman"/>
        </w:rPr>
        <w:t xml:space="preserve">; </w:t>
      </w:r>
    </w:p>
    <w:p w14:paraId="2E7AB4CF" w14:textId="77777777" w:rsidR="006F6452" w:rsidRPr="0036210F" w:rsidRDefault="006F6452" w:rsidP="006F6452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питань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розглянутих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обговорених</w:t>
      </w:r>
      <w:proofErr w:type="spellEnd"/>
      <w:r w:rsidRPr="0036210F">
        <w:rPr>
          <w:rFonts w:ascii="Times New Roman" w:hAnsi="Times New Roman"/>
        </w:rPr>
        <w:t xml:space="preserve"> на </w:t>
      </w:r>
      <w:proofErr w:type="spellStart"/>
      <w:r w:rsidRPr="0036210F">
        <w:rPr>
          <w:rFonts w:ascii="Times New Roman" w:hAnsi="Times New Roman"/>
        </w:rPr>
        <w:t>практичних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заняттях</w:t>
      </w:r>
      <w:proofErr w:type="spellEnd"/>
      <w:r w:rsidRPr="0036210F">
        <w:rPr>
          <w:rFonts w:ascii="Times New Roman" w:hAnsi="Times New Roman"/>
        </w:rPr>
        <w:t xml:space="preserve">; </w:t>
      </w:r>
    </w:p>
    <w:p w14:paraId="3477327B" w14:textId="77777777" w:rsidR="006F6452" w:rsidRPr="0036210F" w:rsidRDefault="006F6452" w:rsidP="006F6452">
      <w:pPr>
        <w:widowControl/>
        <w:numPr>
          <w:ilvl w:val="0"/>
          <w:numId w:val="1"/>
        </w:numPr>
        <w:tabs>
          <w:tab w:val="left" w:pos="0"/>
        </w:tabs>
        <w:ind w:left="0"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матеріалу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опрацьованого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самостійно</w:t>
      </w:r>
      <w:proofErr w:type="spellEnd"/>
      <w:r w:rsidRPr="0036210F">
        <w:rPr>
          <w:rFonts w:ascii="Times New Roman" w:hAnsi="Times New Roman"/>
        </w:rPr>
        <w:t xml:space="preserve">. </w:t>
      </w:r>
    </w:p>
    <w:p w14:paraId="5BD864E2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Основна</w:t>
      </w:r>
      <w:proofErr w:type="spellEnd"/>
      <w:r w:rsidRPr="0036210F">
        <w:rPr>
          <w:rFonts w:ascii="Times New Roman" w:hAnsi="Times New Roman"/>
        </w:rPr>
        <w:t xml:space="preserve"> мета поточного контролю – </w:t>
      </w:r>
      <w:proofErr w:type="spellStart"/>
      <w:r w:rsidRPr="0036210F">
        <w:rPr>
          <w:rFonts w:ascii="Times New Roman" w:hAnsi="Times New Roman"/>
        </w:rPr>
        <w:t>забезпечення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зворотного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зв’язку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між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викладачами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здобувачами</w:t>
      </w:r>
      <w:proofErr w:type="spellEnd"/>
      <w:r w:rsidRPr="0036210F">
        <w:rPr>
          <w:rFonts w:ascii="Times New Roman" w:hAnsi="Times New Roman"/>
        </w:rPr>
        <w:t xml:space="preserve"> у </w:t>
      </w:r>
      <w:proofErr w:type="spellStart"/>
      <w:r w:rsidRPr="0036210F">
        <w:rPr>
          <w:rFonts w:ascii="Times New Roman" w:hAnsi="Times New Roman"/>
        </w:rPr>
        <w:t>процесі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навчання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забезпечення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управління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навчальною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мотивацією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здобувачів</w:t>
      </w:r>
      <w:proofErr w:type="spellEnd"/>
      <w:r w:rsidRPr="0036210F">
        <w:rPr>
          <w:rFonts w:ascii="Times New Roman" w:hAnsi="Times New Roman"/>
        </w:rPr>
        <w:t xml:space="preserve">. </w:t>
      </w:r>
      <w:proofErr w:type="spellStart"/>
      <w:r w:rsidRPr="0036210F">
        <w:rPr>
          <w:rFonts w:ascii="Times New Roman" w:hAnsi="Times New Roman"/>
          <w:lang w:val="uk-UA"/>
        </w:rPr>
        <w:t>П.к</w:t>
      </w:r>
      <w:proofErr w:type="spellEnd"/>
      <w:r w:rsidRPr="0036210F">
        <w:rPr>
          <w:rFonts w:ascii="Times New Roman" w:hAnsi="Times New Roman"/>
          <w:lang w:val="uk-UA"/>
        </w:rPr>
        <w:t>.</w:t>
      </w:r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передбачає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оцінювання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теоретичної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підготовки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здобувачів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вищої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освіти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із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зазначеної</w:t>
      </w:r>
      <w:proofErr w:type="spellEnd"/>
      <w:r w:rsidRPr="0036210F">
        <w:rPr>
          <w:rFonts w:ascii="Times New Roman" w:hAnsi="Times New Roman"/>
        </w:rPr>
        <w:t xml:space="preserve"> теми (у тому </w:t>
      </w:r>
      <w:proofErr w:type="spellStart"/>
      <w:r w:rsidRPr="0036210F">
        <w:rPr>
          <w:rFonts w:ascii="Times New Roman" w:hAnsi="Times New Roman"/>
        </w:rPr>
        <w:t>числі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самостійно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опрацьованого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матеріалу</w:t>
      </w:r>
      <w:proofErr w:type="spellEnd"/>
      <w:r w:rsidRPr="0036210F">
        <w:rPr>
          <w:rFonts w:ascii="Times New Roman" w:hAnsi="Times New Roman"/>
        </w:rPr>
        <w:t xml:space="preserve">), яка </w:t>
      </w:r>
      <w:proofErr w:type="spellStart"/>
      <w:r w:rsidRPr="0036210F">
        <w:rPr>
          <w:rFonts w:ascii="Times New Roman" w:hAnsi="Times New Roman"/>
        </w:rPr>
        <w:t>поступово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формується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цілою</w:t>
      </w:r>
      <w:proofErr w:type="spellEnd"/>
      <w:r w:rsidRPr="0036210F">
        <w:rPr>
          <w:rFonts w:ascii="Times New Roman" w:hAnsi="Times New Roman"/>
        </w:rPr>
        <w:t xml:space="preserve"> низкою </w:t>
      </w:r>
      <w:proofErr w:type="spellStart"/>
      <w:r w:rsidRPr="0036210F">
        <w:rPr>
          <w:rFonts w:ascii="Times New Roman" w:hAnsi="Times New Roman"/>
        </w:rPr>
        <w:t>навчальних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</w:t>
      </w:r>
      <w:proofErr w:type="spellEnd"/>
      <w:r w:rsidRPr="0036210F">
        <w:rPr>
          <w:rFonts w:ascii="Times New Roman" w:hAnsi="Times New Roman"/>
        </w:rPr>
        <w:t xml:space="preserve"> для </w:t>
      </w:r>
      <w:proofErr w:type="spellStart"/>
      <w:r w:rsidRPr="0036210F">
        <w:rPr>
          <w:rFonts w:ascii="Times New Roman" w:hAnsi="Times New Roman"/>
        </w:rPr>
        <w:t>набуття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відповідних</w:t>
      </w:r>
      <w:proofErr w:type="spellEnd"/>
      <w:r w:rsidRPr="0036210F">
        <w:rPr>
          <w:rFonts w:ascii="Times New Roman" w:hAnsi="Times New Roman"/>
        </w:rPr>
        <w:t xml:space="preserve"> компетентностей </w:t>
      </w:r>
      <w:proofErr w:type="spellStart"/>
      <w:r w:rsidRPr="0036210F">
        <w:rPr>
          <w:rFonts w:ascii="Times New Roman" w:hAnsi="Times New Roman"/>
        </w:rPr>
        <w:t>даної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освітньої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програми</w:t>
      </w:r>
      <w:proofErr w:type="spellEnd"/>
      <w:r w:rsidRPr="0036210F">
        <w:rPr>
          <w:rFonts w:ascii="Times New Roman" w:hAnsi="Times New Roman"/>
          <w:lang w:val="uk-UA"/>
        </w:rPr>
        <w:t xml:space="preserve">. </w:t>
      </w:r>
    </w:p>
    <w:p w14:paraId="17A327E4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Поточний</w:t>
      </w:r>
      <w:proofErr w:type="spellEnd"/>
      <w:r w:rsidRPr="0036210F">
        <w:rPr>
          <w:rFonts w:ascii="Times New Roman" w:hAnsi="Times New Roman"/>
        </w:rPr>
        <w:t xml:space="preserve"> контроль </w:t>
      </w:r>
      <w:proofErr w:type="spellStart"/>
      <w:r w:rsidRPr="0036210F">
        <w:rPr>
          <w:rFonts w:ascii="Times New Roman" w:hAnsi="Times New Roman"/>
        </w:rPr>
        <w:t>може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проводитися</w:t>
      </w:r>
      <w:proofErr w:type="spellEnd"/>
      <w:r w:rsidRPr="0036210F">
        <w:rPr>
          <w:rFonts w:ascii="Times New Roman" w:hAnsi="Times New Roman"/>
        </w:rPr>
        <w:t xml:space="preserve"> у </w:t>
      </w:r>
      <w:proofErr w:type="spellStart"/>
      <w:r w:rsidRPr="0036210F">
        <w:rPr>
          <w:rFonts w:ascii="Times New Roman" w:hAnsi="Times New Roman"/>
        </w:rPr>
        <w:t>формі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усного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опитування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або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письмового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експрес</w:t>
      </w:r>
      <w:proofErr w:type="spellEnd"/>
      <w:r w:rsidRPr="0036210F">
        <w:rPr>
          <w:rFonts w:ascii="Times New Roman" w:hAnsi="Times New Roman"/>
        </w:rPr>
        <w:t xml:space="preserve">-контролю на </w:t>
      </w:r>
      <w:proofErr w:type="spellStart"/>
      <w:r w:rsidRPr="0036210F">
        <w:rPr>
          <w:rFonts w:ascii="Times New Roman" w:hAnsi="Times New Roman"/>
        </w:rPr>
        <w:t>практичних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заняттях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лекціях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виступів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здобувачів</w:t>
      </w:r>
      <w:proofErr w:type="spellEnd"/>
      <w:r w:rsidRPr="0036210F">
        <w:rPr>
          <w:rFonts w:ascii="Times New Roman" w:hAnsi="Times New Roman"/>
        </w:rPr>
        <w:t xml:space="preserve"> при </w:t>
      </w:r>
      <w:proofErr w:type="spellStart"/>
      <w:r w:rsidRPr="0036210F">
        <w:rPr>
          <w:rFonts w:ascii="Times New Roman" w:hAnsi="Times New Roman"/>
        </w:rPr>
        <w:t>обговоренні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питань</w:t>
      </w:r>
      <w:proofErr w:type="spellEnd"/>
      <w:r w:rsidRPr="0036210F">
        <w:rPr>
          <w:rFonts w:ascii="Times New Roman" w:hAnsi="Times New Roman"/>
        </w:rPr>
        <w:t xml:space="preserve"> на </w:t>
      </w:r>
      <w:proofErr w:type="spellStart"/>
      <w:r w:rsidRPr="0036210F">
        <w:rPr>
          <w:rFonts w:ascii="Times New Roman" w:hAnsi="Times New Roman"/>
        </w:rPr>
        <w:t>семінарських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заняттях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комп’ютерного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тестування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звітів</w:t>
      </w:r>
      <w:proofErr w:type="spellEnd"/>
      <w:r w:rsidRPr="0036210F">
        <w:rPr>
          <w:rFonts w:ascii="Times New Roman" w:hAnsi="Times New Roman"/>
        </w:rPr>
        <w:t xml:space="preserve"> про практику </w:t>
      </w:r>
      <w:proofErr w:type="spellStart"/>
      <w:r w:rsidRPr="0036210F">
        <w:rPr>
          <w:rFonts w:ascii="Times New Roman" w:hAnsi="Times New Roman"/>
        </w:rPr>
        <w:t>тощо</w:t>
      </w:r>
      <w:proofErr w:type="spellEnd"/>
      <w:r w:rsidRPr="0036210F">
        <w:rPr>
          <w:rFonts w:ascii="Times New Roman" w:hAnsi="Times New Roman"/>
        </w:rPr>
        <w:t xml:space="preserve">. </w:t>
      </w:r>
      <w:proofErr w:type="spellStart"/>
      <w:r w:rsidRPr="0036210F">
        <w:rPr>
          <w:rFonts w:ascii="Times New Roman" w:hAnsi="Times New Roman"/>
        </w:rPr>
        <w:t>Перелік</w:t>
      </w:r>
      <w:proofErr w:type="spellEnd"/>
      <w:r w:rsidRPr="0036210F">
        <w:rPr>
          <w:rFonts w:ascii="Times New Roman" w:hAnsi="Times New Roman"/>
        </w:rPr>
        <w:t xml:space="preserve"> компетентностей, </w:t>
      </w:r>
      <w:proofErr w:type="spellStart"/>
      <w:r w:rsidRPr="0036210F">
        <w:rPr>
          <w:rFonts w:ascii="Times New Roman" w:hAnsi="Times New Roman"/>
        </w:rPr>
        <w:t>які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формуються</w:t>
      </w:r>
      <w:proofErr w:type="spellEnd"/>
      <w:r w:rsidRPr="0036210F">
        <w:rPr>
          <w:rFonts w:ascii="Times New Roman" w:hAnsi="Times New Roman"/>
        </w:rPr>
        <w:t xml:space="preserve"> в </w:t>
      </w:r>
      <w:proofErr w:type="spellStart"/>
      <w:r w:rsidRPr="0036210F">
        <w:rPr>
          <w:rFonts w:ascii="Times New Roman" w:hAnsi="Times New Roman"/>
        </w:rPr>
        <w:t>результаті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вивчення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даної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дисципліни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форми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проведення</w:t>
      </w:r>
      <w:proofErr w:type="spellEnd"/>
      <w:r w:rsidRPr="0036210F">
        <w:rPr>
          <w:rFonts w:ascii="Times New Roman" w:hAnsi="Times New Roman"/>
        </w:rPr>
        <w:t xml:space="preserve"> поточного контролю, максимальна </w:t>
      </w:r>
      <w:proofErr w:type="spellStart"/>
      <w:r w:rsidRPr="0036210F">
        <w:rPr>
          <w:rFonts w:ascii="Times New Roman" w:hAnsi="Times New Roman"/>
        </w:rPr>
        <w:t>кількість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балів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їх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розподіл</w:t>
      </w:r>
      <w:proofErr w:type="spellEnd"/>
      <w:r w:rsidRPr="0036210F">
        <w:rPr>
          <w:rFonts w:ascii="Times New Roman" w:hAnsi="Times New Roman"/>
        </w:rPr>
        <w:t xml:space="preserve">, яку </w:t>
      </w:r>
      <w:proofErr w:type="spellStart"/>
      <w:r w:rsidRPr="0036210F">
        <w:rPr>
          <w:rFonts w:ascii="Times New Roman" w:hAnsi="Times New Roman"/>
        </w:rPr>
        <w:t>може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одержати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здобувач</w:t>
      </w:r>
      <w:proofErr w:type="spellEnd"/>
      <w:r w:rsidRPr="0036210F">
        <w:rPr>
          <w:rFonts w:ascii="Times New Roman" w:hAnsi="Times New Roman"/>
        </w:rPr>
        <w:t xml:space="preserve">, </w:t>
      </w:r>
      <w:proofErr w:type="spellStart"/>
      <w:r w:rsidRPr="0036210F">
        <w:rPr>
          <w:rFonts w:ascii="Times New Roman" w:hAnsi="Times New Roman"/>
        </w:rPr>
        <w:t>визначаються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викладачем</w:t>
      </w:r>
      <w:proofErr w:type="spellEnd"/>
      <w:r w:rsidRPr="0036210F">
        <w:rPr>
          <w:rFonts w:ascii="Times New Roman" w:hAnsi="Times New Roman"/>
        </w:rPr>
        <w:t xml:space="preserve"> та </w:t>
      </w:r>
      <w:proofErr w:type="spellStart"/>
      <w:r w:rsidRPr="0036210F">
        <w:rPr>
          <w:rFonts w:ascii="Times New Roman" w:hAnsi="Times New Roman"/>
        </w:rPr>
        <w:t>наводяться</w:t>
      </w:r>
      <w:proofErr w:type="spellEnd"/>
      <w:r w:rsidRPr="0036210F">
        <w:rPr>
          <w:rFonts w:ascii="Times New Roman" w:hAnsi="Times New Roman"/>
        </w:rPr>
        <w:t xml:space="preserve"> у </w:t>
      </w:r>
      <w:proofErr w:type="spellStart"/>
      <w:r w:rsidRPr="0036210F">
        <w:rPr>
          <w:rFonts w:ascii="Times New Roman" w:hAnsi="Times New Roman"/>
        </w:rPr>
        <w:t>робочій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програмі</w:t>
      </w:r>
      <w:proofErr w:type="spellEnd"/>
      <w:r w:rsidRPr="0036210F">
        <w:rPr>
          <w:rFonts w:ascii="Times New Roman" w:hAnsi="Times New Roman"/>
        </w:rPr>
        <w:t xml:space="preserve"> з </w:t>
      </w:r>
      <w:proofErr w:type="spellStart"/>
      <w:r w:rsidRPr="0036210F">
        <w:rPr>
          <w:rFonts w:ascii="Times New Roman" w:hAnsi="Times New Roman"/>
        </w:rPr>
        <w:t>даної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дисципліни</w:t>
      </w:r>
      <w:proofErr w:type="spellEnd"/>
      <w:r w:rsidRPr="0036210F">
        <w:rPr>
          <w:rFonts w:ascii="Times New Roman" w:hAnsi="Times New Roman"/>
        </w:rPr>
        <w:t xml:space="preserve">. </w:t>
      </w:r>
    </w:p>
    <w:p w14:paraId="693E1DFB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lang w:val="uk-UA"/>
        </w:rPr>
      </w:pPr>
      <w:proofErr w:type="spellStart"/>
      <w:r w:rsidRPr="0036210F">
        <w:rPr>
          <w:rFonts w:ascii="Times New Roman" w:hAnsi="Times New Roman"/>
        </w:rPr>
        <w:t>Результати</w:t>
      </w:r>
      <w:proofErr w:type="spellEnd"/>
      <w:r w:rsidRPr="0036210F">
        <w:rPr>
          <w:rFonts w:ascii="Times New Roman" w:hAnsi="Times New Roman"/>
        </w:rPr>
        <w:t xml:space="preserve"> поточного контролю (</w:t>
      </w:r>
      <w:proofErr w:type="spellStart"/>
      <w:r w:rsidRPr="0036210F">
        <w:rPr>
          <w:rFonts w:ascii="Times New Roman" w:hAnsi="Times New Roman"/>
        </w:rPr>
        <w:t>поточна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успішність</w:t>
      </w:r>
      <w:proofErr w:type="spellEnd"/>
      <w:r w:rsidRPr="0036210F">
        <w:rPr>
          <w:rFonts w:ascii="Times New Roman" w:hAnsi="Times New Roman"/>
        </w:rPr>
        <w:t xml:space="preserve">) є основною </w:t>
      </w:r>
      <w:proofErr w:type="spellStart"/>
      <w:r w:rsidRPr="0036210F">
        <w:rPr>
          <w:rFonts w:ascii="Times New Roman" w:hAnsi="Times New Roman"/>
        </w:rPr>
        <w:t>інформацією</w:t>
      </w:r>
      <w:proofErr w:type="spellEnd"/>
      <w:r w:rsidRPr="0036210F">
        <w:rPr>
          <w:rFonts w:ascii="Times New Roman" w:hAnsi="Times New Roman"/>
        </w:rPr>
        <w:t xml:space="preserve"> для </w:t>
      </w:r>
      <w:proofErr w:type="spellStart"/>
      <w:r w:rsidRPr="0036210F">
        <w:rPr>
          <w:rFonts w:ascii="Times New Roman" w:hAnsi="Times New Roman"/>
        </w:rPr>
        <w:t>формування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заліку</w:t>
      </w:r>
      <w:proofErr w:type="spellEnd"/>
      <w:r w:rsidRPr="0036210F">
        <w:rPr>
          <w:rFonts w:ascii="Times New Roman" w:hAnsi="Times New Roman"/>
        </w:rPr>
        <w:t xml:space="preserve"> і </w:t>
      </w:r>
      <w:proofErr w:type="spellStart"/>
      <w:r w:rsidRPr="0036210F">
        <w:rPr>
          <w:rFonts w:ascii="Times New Roman" w:hAnsi="Times New Roman"/>
        </w:rPr>
        <w:t>враховуються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викладачем</w:t>
      </w:r>
      <w:proofErr w:type="spellEnd"/>
      <w:r w:rsidRPr="0036210F">
        <w:rPr>
          <w:rFonts w:ascii="Times New Roman" w:hAnsi="Times New Roman"/>
        </w:rPr>
        <w:t xml:space="preserve"> при </w:t>
      </w:r>
      <w:proofErr w:type="spellStart"/>
      <w:r w:rsidRPr="0036210F">
        <w:rPr>
          <w:rFonts w:ascii="Times New Roman" w:hAnsi="Times New Roman"/>
        </w:rPr>
        <w:t>визначенні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підсумкової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оцінки</w:t>
      </w:r>
      <w:proofErr w:type="spellEnd"/>
      <w:r w:rsidRPr="0036210F">
        <w:rPr>
          <w:rFonts w:ascii="Times New Roman" w:hAnsi="Times New Roman"/>
        </w:rPr>
        <w:t xml:space="preserve"> з </w:t>
      </w:r>
      <w:proofErr w:type="spellStart"/>
      <w:r w:rsidRPr="0036210F">
        <w:rPr>
          <w:rFonts w:ascii="Times New Roman" w:hAnsi="Times New Roman"/>
        </w:rPr>
        <w:t>даної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дисципліни</w:t>
      </w:r>
      <w:proofErr w:type="spellEnd"/>
      <w:r w:rsidRPr="0036210F">
        <w:rPr>
          <w:rFonts w:ascii="Times New Roman" w:hAnsi="Times New Roman"/>
        </w:rPr>
        <w:t xml:space="preserve">. </w:t>
      </w:r>
      <w:proofErr w:type="spellStart"/>
      <w:r w:rsidRPr="0036210F">
        <w:rPr>
          <w:rFonts w:ascii="Times New Roman" w:hAnsi="Times New Roman"/>
        </w:rPr>
        <w:t>Найбільш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об’єктивно</w:t>
      </w:r>
      <w:proofErr w:type="spellEnd"/>
      <w:r w:rsidRPr="0036210F">
        <w:rPr>
          <w:rFonts w:ascii="Times New Roman" w:hAnsi="Times New Roman"/>
        </w:rPr>
        <w:t xml:space="preserve"> та системно </w:t>
      </w:r>
      <w:proofErr w:type="spellStart"/>
      <w:r w:rsidRPr="0036210F">
        <w:rPr>
          <w:rFonts w:ascii="Times New Roman" w:hAnsi="Times New Roman"/>
        </w:rPr>
        <w:t>облік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поточної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успішності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забезпечується</w:t>
      </w:r>
      <w:proofErr w:type="spellEnd"/>
      <w:r w:rsidRPr="0036210F">
        <w:rPr>
          <w:rFonts w:ascii="Times New Roman" w:hAnsi="Times New Roman"/>
        </w:rPr>
        <w:t xml:space="preserve"> при </w:t>
      </w:r>
      <w:proofErr w:type="spellStart"/>
      <w:r w:rsidRPr="0036210F">
        <w:rPr>
          <w:rFonts w:ascii="Times New Roman" w:hAnsi="Times New Roman"/>
        </w:rPr>
        <w:t>використанні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рейтингової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системи</w:t>
      </w:r>
      <w:proofErr w:type="spellEnd"/>
      <w:r w:rsidRPr="0036210F">
        <w:rPr>
          <w:rFonts w:ascii="Times New Roman" w:hAnsi="Times New Roman"/>
        </w:rPr>
        <w:t xml:space="preserve"> </w:t>
      </w:r>
      <w:proofErr w:type="spellStart"/>
      <w:r w:rsidRPr="0036210F">
        <w:rPr>
          <w:rFonts w:ascii="Times New Roman" w:hAnsi="Times New Roman"/>
        </w:rPr>
        <w:t>оцінки</w:t>
      </w:r>
      <w:proofErr w:type="spellEnd"/>
      <w:r w:rsidRPr="0036210F">
        <w:rPr>
          <w:rFonts w:ascii="Times New Roman" w:hAnsi="Times New Roman"/>
        </w:rPr>
        <w:t>.</w:t>
      </w:r>
    </w:p>
    <w:p w14:paraId="0F112351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lang w:val="uk-UA"/>
        </w:rPr>
      </w:pPr>
      <w:r w:rsidRPr="0036210F">
        <w:rPr>
          <w:rFonts w:ascii="Times New Roman" w:hAnsi="Times New Roman"/>
          <w:b/>
          <w:bCs/>
          <w:color w:val="000000"/>
          <w:lang w:val="uk-UA"/>
        </w:rPr>
        <w:t>Підсумковий контроль</w:t>
      </w:r>
      <w:r w:rsidRPr="0036210F">
        <w:rPr>
          <w:rFonts w:ascii="Times New Roman" w:hAnsi="Times New Roman"/>
          <w:b/>
          <w:bCs/>
          <w:i/>
          <w:iCs/>
          <w:color w:val="000000"/>
          <w:lang w:val="uk-UA"/>
        </w:rPr>
        <w:t xml:space="preserve"> </w:t>
      </w:r>
      <w:r w:rsidRPr="0036210F">
        <w:rPr>
          <w:rFonts w:ascii="Times New Roman" w:hAnsi="Times New Roman"/>
          <w:color w:val="000000"/>
          <w:lang w:val="uk-UA"/>
        </w:rPr>
        <w:t>забезпечує оцінку результатів навчання здобувачів певного освітньо-кваліфікаційного рівня на проміжних або заключному етапах їх навчання. Об’єктом підсумкового оцінювання є знання програмного матеріалу в повному обсязі. Він включає семестровий контроль або державну атестацію здобувачів.</w:t>
      </w:r>
    </w:p>
    <w:p w14:paraId="1F849AF1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lang w:val="uk-UA"/>
        </w:rPr>
      </w:pPr>
      <w:r w:rsidRPr="0036210F">
        <w:rPr>
          <w:rFonts w:ascii="Times New Roman" w:hAnsi="Times New Roman"/>
          <w:b/>
          <w:bCs/>
          <w:i/>
          <w:iCs/>
          <w:color w:val="000000"/>
          <w:lang w:val="uk-UA"/>
        </w:rPr>
        <w:t xml:space="preserve">Семестровий контроль </w:t>
      </w:r>
      <w:r w:rsidRPr="0036210F">
        <w:rPr>
          <w:rFonts w:ascii="Times New Roman" w:hAnsi="Times New Roman"/>
          <w:color w:val="000000"/>
          <w:lang w:val="uk-UA"/>
        </w:rPr>
        <w:t>з певної дисципліни проводиться відповідно до навчального плану у вигляді семестрового екзамену або заліку в терміни, встановлені графіком навчального процесу та в обсязі навчального матеріалу, визначеному робочою програмою дисципліни.</w:t>
      </w:r>
    </w:p>
    <w:p w14:paraId="3D38D216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lang w:val="uk-UA"/>
        </w:rPr>
      </w:pPr>
      <w:r w:rsidRPr="0036210F">
        <w:rPr>
          <w:rFonts w:ascii="Times New Roman" w:hAnsi="Times New Roman"/>
          <w:i/>
          <w:iCs/>
          <w:color w:val="000000"/>
          <w:lang w:val="uk-UA"/>
        </w:rPr>
        <w:t>Семестровий залік</w:t>
      </w:r>
      <w:r w:rsidRPr="0036210F">
        <w:rPr>
          <w:rFonts w:ascii="Times New Roman" w:hAnsi="Times New Roman"/>
          <w:color w:val="000000"/>
          <w:lang w:val="uk-UA"/>
        </w:rPr>
        <w:t xml:space="preserve"> – це вид підсумкового контролю, при якому засвоєння здобувачем навчального матеріалу з дисципліни оцінюється на підставі результатів поточного контролю (поточного опитування, виконання індивідуальних завдань та самостійної роботи) протягом семестру.</w:t>
      </w:r>
    </w:p>
    <w:p w14:paraId="47E07B38" w14:textId="77777777" w:rsidR="006F6452" w:rsidRPr="0036210F" w:rsidRDefault="006F6452" w:rsidP="006F6452">
      <w:pPr>
        <w:widowControl/>
        <w:tabs>
          <w:tab w:val="left" w:pos="0"/>
        </w:tabs>
        <w:ind w:firstLine="770"/>
        <w:jc w:val="both"/>
        <w:rPr>
          <w:rFonts w:ascii="Times New Roman" w:hAnsi="Times New Roman"/>
          <w:color w:val="000000"/>
          <w:lang w:val="uk-UA"/>
        </w:rPr>
      </w:pPr>
      <w:r w:rsidRPr="0036210F">
        <w:rPr>
          <w:rFonts w:ascii="Times New Roman" w:hAnsi="Times New Roman"/>
          <w:i/>
          <w:iCs/>
          <w:color w:val="000000"/>
          <w:lang w:val="uk-UA"/>
        </w:rPr>
        <w:t>Семестровий екзамен</w:t>
      </w:r>
      <w:r w:rsidRPr="0036210F">
        <w:rPr>
          <w:rFonts w:ascii="Times New Roman" w:hAnsi="Times New Roman"/>
          <w:color w:val="000000"/>
          <w:lang w:val="uk-UA"/>
        </w:rPr>
        <w:t xml:space="preserve"> – це форма підсумкового контролю засвоєння здобувачем теоретичного, практичного матеріалу з окремої навчальної дисципліни за семестр та набуття певних </w:t>
      </w:r>
      <w:proofErr w:type="spellStart"/>
      <w:r w:rsidRPr="0036210F">
        <w:rPr>
          <w:rFonts w:ascii="Times New Roman" w:hAnsi="Times New Roman"/>
          <w:color w:val="000000"/>
          <w:lang w:val="uk-UA"/>
        </w:rPr>
        <w:t>компетентностей</w:t>
      </w:r>
      <w:proofErr w:type="spellEnd"/>
      <w:r w:rsidRPr="0036210F">
        <w:rPr>
          <w:rFonts w:ascii="Times New Roman" w:hAnsi="Times New Roman"/>
          <w:color w:val="000000"/>
          <w:lang w:val="uk-UA"/>
        </w:rPr>
        <w:t xml:space="preserve">, що проводиться як контрольний захід. </w:t>
      </w:r>
    </w:p>
    <w:p w14:paraId="09E3FC66" w14:textId="77777777" w:rsidR="006F6452" w:rsidRPr="0036210F" w:rsidRDefault="006F6452" w:rsidP="006F6452">
      <w:pPr>
        <w:ind w:left="360"/>
        <w:rPr>
          <w:rFonts w:ascii="Times New Roman" w:hAnsi="Times New Roman"/>
          <w:b/>
          <w:lang w:val="uk-UA"/>
        </w:rPr>
      </w:pPr>
    </w:p>
    <w:p w14:paraId="0A567B7F" w14:textId="77777777" w:rsidR="006F6452" w:rsidRPr="0036210F" w:rsidRDefault="006F6452" w:rsidP="006F6452">
      <w:pPr>
        <w:ind w:left="360"/>
        <w:jc w:val="center"/>
        <w:rPr>
          <w:rFonts w:ascii="Times New Roman" w:hAnsi="Times New Roman"/>
          <w:b/>
          <w:lang w:val="uk-UA"/>
        </w:rPr>
      </w:pPr>
      <w:r w:rsidRPr="0036210F">
        <w:rPr>
          <w:rFonts w:ascii="Times New Roman" w:hAnsi="Times New Roman"/>
          <w:b/>
          <w:lang w:val="uk-UA"/>
        </w:rPr>
        <w:t>Розподіл балів для дисципліни</w:t>
      </w:r>
    </w:p>
    <w:p w14:paraId="32CC7195" w14:textId="77777777" w:rsidR="006F6452" w:rsidRPr="0036210F" w:rsidRDefault="006F6452" w:rsidP="006F6452">
      <w:pPr>
        <w:ind w:left="360"/>
        <w:jc w:val="center"/>
        <w:rPr>
          <w:rFonts w:ascii="Times New Roman" w:hAnsi="Times New Roman"/>
          <w:b/>
          <w:lang w:val="uk-UA"/>
        </w:rPr>
      </w:pPr>
      <w:proofErr w:type="spellStart"/>
      <w:r w:rsidRPr="0036210F">
        <w:rPr>
          <w:rFonts w:ascii="Times New Roman" w:hAnsi="Times New Roman"/>
          <w:b/>
          <w:lang w:val="uk-UA"/>
        </w:rPr>
        <w:t>Distribution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of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points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for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the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discipline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with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a </w:t>
      </w:r>
      <w:proofErr w:type="spellStart"/>
      <w:r w:rsidRPr="0036210F">
        <w:rPr>
          <w:rFonts w:ascii="Times New Roman" w:hAnsi="Times New Roman"/>
          <w:b/>
          <w:lang w:val="uk-UA"/>
        </w:rPr>
        <w:t>form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proofErr w:type="spellStart"/>
      <w:r w:rsidRPr="0036210F">
        <w:rPr>
          <w:rFonts w:ascii="Times New Roman" w:hAnsi="Times New Roman"/>
          <w:b/>
          <w:lang w:val="uk-UA"/>
        </w:rPr>
        <w:t>of</w:t>
      </w:r>
      <w:proofErr w:type="spellEnd"/>
      <w:r w:rsidRPr="0036210F">
        <w:rPr>
          <w:rFonts w:ascii="Times New Roman" w:hAnsi="Times New Roman"/>
          <w:b/>
          <w:lang w:val="uk-UA"/>
        </w:rPr>
        <w:t xml:space="preserve"> </w:t>
      </w:r>
      <w:r w:rsidRPr="0036210F">
        <w:rPr>
          <w:rFonts w:ascii="Times New Roman" w:hAnsi="Times New Roman"/>
          <w:b/>
          <w:lang w:val="en-US"/>
        </w:rPr>
        <w:t xml:space="preserve">test </w:t>
      </w:r>
      <w:proofErr w:type="spellStart"/>
      <w:r w:rsidRPr="0036210F">
        <w:rPr>
          <w:rFonts w:ascii="Times New Roman" w:hAnsi="Times New Roman"/>
          <w:b/>
          <w:lang w:val="uk-UA"/>
        </w:rPr>
        <w:t>control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1546"/>
        <w:gridCol w:w="1536"/>
        <w:gridCol w:w="1673"/>
      </w:tblGrid>
      <w:tr w:rsidR="006F6452" w:rsidRPr="0036210F" w14:paraId="6E83CFF1" w14:textId="77777777" w:rsidTr="001E2C56">
        <w:trPr>
          <w:cantSplit/>
        </w:trPr>
        <w:tc>
          <w:tcPr>
            <w:tcW w:w="3283" w:type="pct"/>
            <w:gridSpan w:val="2"/>
            <w:tcMar>
              <w:left w:w="57" w:type="dxa"/>
              <w:right w:w="57" w:type="dxa"/>
            </w:tcMar>
            <w:vAlign w:val="center"/>
          </w:tcPr>
          <w:p w14:paraId="682E2EAD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en-US"/>
              </w:rPr>
            </w:pPr>
            <w:r w:rsidRPr="0036210F">
              <w:rPr>
                <w:rFonts w:ascii="Times New Roman" w:hAnsi="Times New Roman"/>
                <w:lang w:val="uk-UA"/>
              </w:rPr>
              <w:t>Поточне оцінювання</w:t>
            </w:r>
            <w:r w:rsidRPr="0036210F">
              <w:rPr>
                <w:rFonts w:ascii="Times New Roman" w:hAnsi="Times New Roman"/>
                <w:lang w:val="en-US"/>
              </w:rPr>
              <w:t xml:space="preserve"> / Current assessment</w:t>
            </w:r>
          </w:p>
        </w:tc>
        <w:tc>
          <w:tcPr>
            <w:tcW w:w="822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EC1A2F9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Підсумковий контроль /</w:t>
            </w:r>
          </w:p>
          <w:p w14:paraId="75961B85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6210F">
              <w:rPr>
                <w:rFonts w:ascii="Times New Roman" w:hAnsi="Times New Roman"/>
                <w:lang w:val="uk-UA"/>
              </w:rPr>
              <w:t>Test</w:t>
            </w:r>
            <w:proofErr w:type="spellEnd"/>
          </w:p>
        </w:tc>
        <w:tc>
          <w:tcPr>
            <w:tcW w:w="895" w:type="pct"/>
            <w:vMerge w:val="restart"/>
          </w:tcPr>
          <w:p w14:paraId="1AAAC131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en-US"/>
              </w:rPr>
            </w:pPr>
            <w:r w:rsidRPr="0036210F">
              <w:rPr>
                <w:rFonts w:ascii="Times New Roman" w:hAnsi="Times New Roman"/>
                <w:lang w:val="uk-UA"/>
              </w:rPr>
              <w:t xml:space="preserve">Сума балів </w:t>
            </w:r>
            <w:r w:rsidRPr="0036210F">
              <w:rPr>
                <w:rFonts w:ascii="Times New Roman" w:hAnsi="Times New Roman"/>
                <w:lang w:val="en-US"/>
              </w:rPr>
              <w:t xml:space="preserve">/ </w:t>
            </w:r>
          </w:p>
          <w:p w14:paraId="23C242A7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6210F">
              <w:rPr>
                <w:rFonts w:ascii="Times New Roman" w:hAnsi="Times New Roman"/>
                <w:lang w:val="uk-UA"/>
              </w:rPr>
              <w:t>Total</w:t>
            </w:r>
            <w:proofErr w:type="spellEnd"/>
            <w:r w:rsidRPr="0036210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lang w:val="uk-UA"/>
              </w:rPr>
              <w:t>points</w:t>
            </w:r>
            <w:proofErr w:type="spellEnd"/>
          </w:p>
        </w:tc>
      </w:tr>
      <w:tr w:rsidR="006F6452" w:rsidRPr="0036210F" w14:paraId="2B3A2DC1" w14:textId="77777777" w:rsidTr="001E2C56">
        <w:trPr>
          <w:cantSplit/>
          <w:trHeight w:val="280"/>
        </w:trPr>
        <w:tc>
          <w:tcPr>
            <w:tcW w:w="2456" w:type="pct"/>
            <w:tcMar>
              <w:left w:w="57" w:type="dxa"/>
              <w:right w:w="57" w:type="dxa"/>
            </w:tcMar>
            <w:vAlign w:val="center"/>
          </w:tcPr>
          <w:p w14:paraId="51CD3122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en-US"/>
              </w:rPr>
            </w:pPr>
            <w:r w:rsidRPr="0036210F">
              <w:rPr>
                <w:rFonts w:ascii="Times New Roman" w:hAnsi="Times New Roman"/>
                <w:lang w:val="uk-UA"/>
              </w:rPr>
              <w:t>Змістові модулі</w:t>
            </w:r>
            <w:r w:rsidRPr="0036210F">
              <w:rPr>
                <w:rFonts w:ascii="Times New Roman" w:hAnsi="Times New Roman"/>
                <w:lang w:val="en-US"/>
              </w:rPr>
              <w:t xml:space="preserve"> /</w:t>
            </w:r>
            <w:r w:rsidRPr="0036210F">
              <w:rPr>
                <w:rFonts w:ascii="Times New Roman" w:hAnsi="Times New Roman"/>
              </w:rPr>
              <w:t xml:space="preserve"> </w:t>
            </w:r>
            <w:r w:rsidRPr="0036210F">
              <w:rPr>
                <w:rFonts w:ascii="Times New Roman" w:hAnsi="Times New Roman"/>
                <w:lang w:val="en-US"/>
              </w:rPr>
              <w:t>Content modules</w:t>
            </w:r>
          </w:p>
        </w:tc>
        <w:tc>
          <w:tcPr>
            <w:tcW w:w="827" w:type="pct"/>
            <w:vMerge w:val="restart"/>
          </w:tcPr>
          <w:p w14:paraId="47E2C46F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en-US"/>
              </w:rPr>
            </w:pPr>
            <w:r w:rsidRPr="0036210F">
              <w:rPr>
                <w:rFonts w:ascii="Times New Roman" w:hAnsi="Times New Roman"/>
                <w:lang w:val="uk-UA"/>
              </w:rPr>
              <w:t>Інд. робота</w:t>
            </w:r>
            <w:r w:rsidRPr="0036210F">
              <w:rPr>
                <w:rFonts w:ascii="Times New Roman" w:hAnsi="Times New Roman"/>
                <w:lang w:val="en-US"/>
              </w:rPr>
              <w:t xml:space="preserve"> /</w:t>
            </w:r>
            <w:r w:rsidRPr="0036210F">
              <w:rPr>
                <w:rFonts w:ascii="Times New Roman" w:hAnsi="Times New Roman"/>
              </w:rPr>
              <w:t xml:space="preserve"> </w:t>
            </w:r>
            <w:r w:rsidRPr="0036210F">
              <w:rPr>
                <w:rFonts w:ascii="Times New Roman" w:hAnsi="Times New Roman"/>
                <w:lang w:val="en-US"/>
              </w:rPr>
              <w:t>Ind. task</w:t>
            </w:r>
          </w:p>
        </w:tc>
        <w:tc>
          <w:tcPr>
            <w:tcW w:w="822" w:type="pct"/>
            <w:vMerge/>
          </w:tcPr>
          <w:p w14:paraId="6196C36B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5" w:type="pct"/>
            <w:vMerge/>
            <w:tcMar>
              <w:left w:w="57" w:type="dxa"/>
              <w:right w:w="57" w:type="dxa"/>
            </w:tcMar>
            <w:vAlign w:val="center"/>
          </w:tcPr>
          <w:p w14:paraId="6FD3CBB1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6F34B29B" w14:textId="77777777" w:rsidTr="001E2C56">
        <w:trPr>
          <w:cantSplit/>
          <w:trHeight w:val="310"/>
        </w:trPr>
        <w:tc>
          <w:tcPr>
            <w:tcW w:w="2456" w:type="pct"/>
            <w:tcMar>
              <w:left w:w="57" w:type="dxa"/>
              <w:right w:w="57" w:type="dxa"/>
            </w:tcMar>
            <w:vAlign w:val="center"/>
          </w:tcPr>
          <w:p w14:paraId="71FA00AE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27" w:type="pct"/>
            <w:vMerge/>
          </w:tcPr>
          <w:p w14:paraId="1EF8FC90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2" w:type="pct"/>
            <w:vMerge/>
            <w:tcMar>
              <w:left w:w="57" w:type="dxa"/>
              <w:right w:w="57" w:type="dxa"/>
            </w:tcMar>
            <w:vAlign w:val="center"/>
          </w:tcPr>
          <w:p w14:paraId="50FDE2C6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5" w:type="pct"/>
            <w:vMerge/>
            <w:tcMar>
              <w:left w:w="57" w:type="dxa"/>
              <w:right w:w="57" w:type="dxa"/>
            </w:tcMar>
            <w:vAlign w:val="center"/>
          </w:tcPr>
          <w:p w14:paraId="36F1A431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365CFB99" w14:textId="77777777" w:rsidTr="001E2C56">
        <w:trPr>
          <w:cantSplit/>
        </w:trPr>
        <w:tc>
          <w:tcPr>
            <w:tcW w:w="2456" w:type="pct"/>
            <w:tcMar>
              <w:left w:w="57" w:type="dxa"/>
              <w:right w:w="57" w:type="dxa"/>
            </w:tcMar>
          </w:tcPr>
          <w:p w14:paraId="53B4D719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lastRenderedPageBreak/>
              <w:t>5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27" w:type="pct"/>
          </w:tcPr>
          <w:p w14:paraId="5BACBE69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822" w:type="pct"/>
            <w:tcMar>
              <w:left w:w="57" w:type="dxa"/>
              <w:right w:w="57" w:type="dxa"/>
            </w:tcMar>
          </w:tcPr>
          <w:p w14:paraId="0D11A44E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95" w:type="pct"/>
            <w:tcMar>
              <w:left w:w="57" w:type="dxa"/>
              <w:right w:w="57" w:type="dxa"/>
            </w:tcMar>
          </w:tcPr>
          <w:p w14:paraId="78D8F5DC" w14:textId="77777777" w:rsidR="006F6452" w:rsidRPr="0036210F" w:rsidRDefault="006F6452" w:rsidP="001E2C56">
            <w:pPr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282CEE08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jc w:val="both"/>
        <w:rPr>
          <w:rFonts w:ascii="Times New Roman" w:hAnsi="Times New Roman"/>
          <w:lang w:val="uk-UA"/>
        </w:rPr>
      </w:pPr>
    </w:p>
    <w:p w14:paraId="5EB46D64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За таблицею розподілу балів для дисципліни:</w:t>
      </w:r>
    </w:p>
    <w:p w14:paraId="4AD56FEB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ind w:left="0" w:firstLine="55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мінімальна оцінка, яка дозволяє здавати іспит/залік – 20 балів за семестр;</w:t>
      </w:r>
    </w:p>
    <w:p w14:paraId="793354FF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ind w:left="0" w:firstLine="55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 максимальна оцінка за екзамен/залік – 40 балів. </w:t>
      </w:r>
    </w:p>
    <w:p w14:paraId="4150B78B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Всього – 60 балів (Е) – оцінка, яка вноситься у відомість. </w:t>
      </w:r>
    </w:p>
    <w:p w14:paraId="509E218B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55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Якщо студент прагне більш високої оцінки – потрібно працювати протягом семестру. </w:t>
      </w:r>
    </w:p>
    <w:p w14:paraId="5D79A75D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У нарахування 100 балів входить: </w:t>
      </w:r>
    </w:p>
    <w:p w14:paraId="1F167AC5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 xml:space="preserve">Присутність студента на лекціях (не більше 10% від </w:t>
      </w:r>
      <w:r w:rsidRPr="0036210F">
        <w:rPr>
          <w:rFonts w:ascii="Times New Roman" w:hAnsi="Times New Roman"/>
          <w:lang w:val="en-US"/>
        </w:rPr>
        <w:t>max</w:t>
      </w:r>
      <w:r w:rsidRPr="0036210F">
        <w:rPr>
          <w:rFonts w:ascii="Times New Roman" w:hAnsi="Times New Roman"/>
          <w:lang w:val="uk-UA"/>
        </w:rPr>
        <w:t>);</w:t>
      </w:r>
    </w:p>
    <w:p w14:paraId="3C70A531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Індивідуальна робота (10% - 10 балів);</w:t>
      </w:r>
    </w:p>
    <w:p w14:paraId="487E2988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Практична робота під час аудиторних занять та результат самостійної роботи – (40% - 40 балів);</w:t>
      </w:r>
    </w:p>
    <w:p w14:paraId="2B0C335B" w14:textId="77777777" w:rsidR="006F6452" w:rsidRPr="0036210F" w:rsidRDefault="006F6452" w:rsidP="006F6452">
      <w:pPr>
        <w:pStyle w:val="Style9"/>
        <w:numPr>
          <w:ilvl w:val="0"/>
          <w:numId w:val="1"/>
        </w:numPr>
        <w:tabs>
          <w:tab w:val="left" w:pos="-180"/>
        </w:tabs>
        <w:spacing w:line="240" w:lineRule="auto"/>
        <w:jc w:val="both"/>
        <w:rPr>
          <w:rFonts w:ascii="Times New Roman" w:hAnsi="Times New Roman"/>
          <w:b/>
          <w:bCs/>
          <w:lang w:val="uk-UA"/>
        </w:rPr>
      </w:pPr>
      <w:r w:rsidRPr="0036210F">
        <w:rPr>
          <w:rFonts w:ascii="Times New Roman" w:hAnsi="Times New Roman"/>
          <w:lang w:val="uk-UA"/>
        </w:rPr>
        <w:t>Залік/ екзамен – (40% - 40 балів).</w:t>
      </w:r>
    </w:p>
    <w:p w14:paraId="0E1AE195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b/>
          <w:bCs/>
          <w:lang w:val="uk-UA"/>
        </w:rPr>
      </w:pPr>
    </w:p>
    <w:p w14:paraId="384CDB75" w14:textId="77777777" w:rsidR="006F6452" w:rsidRPr="0036210F" w:rsidRDefault="006F6452" w:rsidP="006F6452">
      <w:pPr>
        <w:pStyle w:val="Style9"/>
        <w:tabs>
          <w:tab w:val="left" w:pos="-180"/>
        </w:tabs>
        <w:spacing w:line="240" w:lineRule="auto"/>
        <w:ind w:firstLine="77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b/>
          <w:bCs/>
          <w:lang w:val="uk-UA"/>
        </w:rPr>
        <w:t>Відстрочений контроль</w:t>
      </w:r>
      <w:r w:rsidRPr="0036210F">
        <w:rPr>
          <w:rFonts w:ascii="Times New Roman" w:hAnsi="Times New Roman"/>
          <w:lang w:val="uk-UA"/>
        </w:rPr>
        <w:t xml:space="preserve"> або контроль збереження знань, проводиться через деякий час після вивчення дисципліни. Цей вид контролю не впливає на результативність (оцінку) навчання здобувача і проводиться вибірково, як правило, в інтересах зовнішнього контролю якості навчання чи внутрішнього, з метою вивчення стійкості засвоєних знань здобувачами. Щорічний ректорський контроль є відстроченим. Порядок проведення та критерії оцінювання знань ректорського контролю регламентуються Положенням про організацію ректорського контролю якості знань здобувачів. Ректорський контроль за вивченням дисциплін відбувається згідно графіку з 2-3 семестру. Графік складає НМР кафедри та спеціальності.</w:t>
      </w:r>
    </w:p>
    <w:p w14:paraId="778BF888" w14:textId="77777777" w:rsidR="006F6452" w:rsidRPr="0036210F" w:rsidRDefault="006F6452" w:rsidP="006F6452">
      <w:pPr>
        <w:pStyle w:val="Style9"/>
        <w:tabs>
          <w:tab w:val="left" w:pos="0"/>
        </w:tabs>
        <w:jc w:val="both"/>
        <w:rPr>
          <w:rFonts w:ascii="Times New Roman" w:hAnsi="Times New Roman"/>
          <w:lang w:val="uk-UA"/>
        </w:rPr>
      </w:pPr>
    </w:p>
    <w:p w14:paraId="4FCA823A" w14:textId="77777777" w:rsidR="006F6452" w:rsidRPr="0036210F" w:rsidRDefault="006F6452" w:rsidP="006F6452">
      <w:pPr>
        <w:pStyle w:val="Style9"/>
        <w:tabs>
          <w:tab w:val="left" w:pos="0"/>
        </w:tabs>
        <w:ind w:firstLine="77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Згідно з діючою в університеті системою комплексної діагностики знань здобувачів, з метою стимулювання планомірної та систематичної навчальної роботи, результати складання екзаменів, захистів курсових проектів (робіт) та практик оцінюються за національною (чотирибальною), уніфікованою рейтинговою (семибальною) шкалою (“відмінно”(А), “добре”(В,С), “задовільно”(D,E), ”незадовільно”(FX,F) і 100-бальною системою, а заліків – за двобальною, семибальною шкалою (“зараховано”(А,B,C,D,E), “не зараховано”(FX,F)) і 100-бальною системою. Підсумкові оцінка виставляється та вносяться до екзаменаційної відомості, залікової книжки (позитивні результати) та навчальної картки здобувача.</w:t>
      </w:r>
    </w:p>
    <w:p w14:paraId="26F2B89F" w14:textId="77777777" w:rsidR="006F6452" w:rsidRPr="0036210F" w:rsidRDefault="006F6452" w:rsidP="006F6452">
      <w:pPr>
        <w:pStyle w:val="Style9"/>
        <w:tabs>
          <w:tab w:val="left" w:pos="0"/>
        </w:tabs>
        <w:spacing w:line="240" w:lineRule="auto"/>
        <w:ind w:firstLine="770"/>
        <w:jc w:val="both"/>
        <w:rPr>
          <w:rFonts w:ascii="Times New Roman" w:hAnsi="Times New Roman"/>
          <w:lang w:val="uk-UA"/>
        </w:rPr>
      </w:pPr>
      <w:r w:rsidRPr="0036210F">
        <w:rPr>
          <w:rFonts w:ascii="Times New Roman" w:hAnsi="Times New Roman"/>
          <w:lang w:val="uk-UA"/>
        </w:rPr>
        <w:t>В екзаменаційній відомості в національній та європейській системах оцінювання знань і при переведенні оцінки в систему ЄКТС викладач керується співвідношеннями, поданими у таблиці «Порядок переведення оцінок у систему ЄКТС».</w:t>
      </w:r>
    </w:p>
    <w:p w14:paraId="48A18587" w14:textId="77777777" w:rsidR="006F6452" w:rsidRPr="0036210F" w:rsidRDefault="006F6452" w:rsidP="006F6452">
      <w:pPr>
        <w:widowControl/>
        <w:tabs>
          <w:tab w:val="left" w:pos="0"/>
        </w:tabs>
        <w:autoSpaceDE/>
        <w:autoSpaceDN/>
        <w:adjustRightInd/>
        <w:ind w:firstLine="770"/>
        <w:rPr>
          <w:rFonts w:ascii="Times New Roman" w:hAnsi="Times New Roman"/>
          <w:color w:val="000000"/>
          <w:lang w:val="uk-UA"/>
        </w:rPr>
      </w:pPr>
    </w:p>
    <w:p w14:paraId="778C56BE" w14:textId="77777777" w:rsidR="006F6452" w:rsidRPr="0036210F" w:rsidRDefault="006F6452" w:rsidP="006F6452">
      <w:pPr>
        <w:tabs>
          <w:tab w:val="left" w:pos="-180"/>
        </w:tabs>
        <w:jc w:val="center"/>
        <w:rPr>
          <w:rFonts w:ascii="Times New Roman" w:eastAsia="Times New Roman" w:hAnsi="Times New Roman"/>
          <w:b/>
          <w:bCs/>
        </w:rPr>
      </w:pPr>
      <w:r w:rsidRPr="0036210F">
        <w:rPr>
          <w:rFonts w:ascii="Times New Roman" w:hAnsi="Times New Roman"/>
          <w:b/>
          <w:bCs/>
          <w:lang w:val="uk-UA"/>
        </w:rPr>
        <w:t xml:space="preserve">Шкала оцінювання для підсумкових вимог за національною системою та </w:t>
      </w:r>
      <w:r w:rsidRPr="0036210F">
        <w:rPr>
          <w:rFonts w:ascii="Times New Roman" w:hAnsi="Times New Roman"/>
          <w:b/>
          <w:bCs/>
          <w:lang w:val="en-US"/>
        </w:rPr>
        <w:t>ECTS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1569"/>
        <w:gridCol w:w="2798"/>
        <w:gridCol w:w="2849"/>
      </w:tblGrid>
      <w:tr w:rsidR="006F6452" w:rsidRPr="0036210F" w14:paraId="594779AB" w14:textId="77777777" w:rsidTr="001E2C56">
        <w:trPr>
          <w:cantSplit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BAE5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210F">
              <w:rPr>
                <w:rFonts w:ascii="Times New Roman" w:hAnsi="Times New Roman"/>
                <w:b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768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210F">
              <w:rPr>
                <w:rFonts w:ascii="Times New Roman" w:hAnsi="Times New Roman"/>
                <w:b/>
                <w:lang w:val="uk-UA"/>
              </w:rPr>
              <w:t xml:space="preserve">Оцінка </w:t>
            </w:r>
            <w:r w:rsidRPr="0036210F">
              <w:rPr>
                <w:rFonts w:ascii="Times New Roman" w:hAnsi="Times New Roman"/>
                <w:b/>
                <w:lang w:val="en-US"/>
              </w:rPr>
              <w:t>ECTS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00E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210F">
              <w:rPr>
                <w:rFonts w:ascii="Times New Roman" w:hAnsi="Times New Roman"/>
                <w:b/>
                <w:lang w:val="uk-UA"/>
              </w:rPr>
              <w:t>Оцінка за національною шкалою</w:t>
            </w:r>
          </w:p>
        </w:tc>
      </w:tr>
      <w:tr w:rsidR="006F6452" w:rsidRPr="0036210F" w14:paraId="3AF0EBFF" w14:textId="77777777" w:rsidTr="001E2C5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422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C1D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47A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i/>
                <w:lang w:val="uk-UA"/>
              </w:rPr>
            </w:pPr>
            <w:r w:rsidRPr="0036210F">
              <w:rPr>
                <w:rFonts w:ascii="Times New Roman" w:hAnsi="Times New Roman"/>
                <w:i/>
                <w:lang w:val="uk-UA"/>
              </w:rPr>
              <w:t>Для екзамену, практики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466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i/>
                <w:lang w:val="uk-UA"/>
              </w:rPr>
            </w:pPr>
            <w:r w:rsidRPr="0036210F">
              <w:rPr>
                <w:rFonts w:ascii="Times New Roman" w:hAnsi="Times New Roman"/>
                <w:i/>
                <w:lang w:val="uk-UA"/>
              </w:rPr>
              <w:t>Для заліку</w:t>
            </w:r>
          </w:p>
        </w:tc>
      </w:tr>
      <w:tr w:rsidR="006F6452" w:rsidRPr="0036210F" w14:paraId="3CCDAF99" w14:textId="77777777" w:rsidTr="001E2C5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F4B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90-100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8EE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D48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D30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6F6452" w:rsidRPr="0036210F" w14:paraId="2500AC8F" w14:textId="77777777" w:rsidTr="001E2C5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D29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9CB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106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EBD2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26271B23" w14:textId="77777777" w:rsidTr="001E2C5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88D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174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CE0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E034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187ECF27" w14:textId="77777777" w:rsidTr="001E2C5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4F0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002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7E2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F3B2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5122BCDF" w14:textId="77777777" w:rsidTr="001E2C56">
        <w:trPr>
          <w:cantSplit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CB0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DC2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B95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E22" w14:textId="77777777" w:rsidR="006F6452" w:rsidRPr="0036210F" w:rsidRDefault="006F6452" w:rsidP="001E2C56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uk-UA"/>
              </w:rPr>
            </w:pPr>
          </w:p>
        </w:tc>
      </w:tr>
      <w:tr w:rsidR="006F6452" w:rsidRPr="0036210F" w14:paraId="45B96069" w14:textId="77777777" w:rsidTr="001E2C5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A95A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293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C48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229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6F6452" w:rsidRPr="0036210F" w14:paraId="739A3B3F" w14:textId="77777777" w:rsidTr="001E2C5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D19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EE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76C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uk-UA"/>
              </w:rPr>
              <w:t xml:space="preserve">Незадовільно з </w:t>
            </w:r>
            <w:r w:rsidRPr="0036210F">
              <w:rPr>
                <w:rFonts w:ascii="Times New Roman" w:hAnsi="Times New Roman"/>
                <w:lang w:val="uk-UA"/>
              </w:rPr>
              <w:lastRenderedPageBreak/>
              <w:t>обов’язковим повторним вивченням дисципліни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CBB" w14:textId="77777777" w:rsidR="006F6452" w:rsidRPr="0036210F" w:rsidRDefault="006F6452" w:rsidP="001E2C56">
            <w:pPr>
              <w:tabs>
                <w:tab w:val="left" w:pos="-180"/>
              </w:tabs>
              <w:jc w:val="center"/>
              <w:rPr>
                <w:rFonts w:ascii="Times New Roman" w:hAnsi="Times New Roman"/>
              </w:rPr>
            </w:pPr>
            <w:r w:rsidRPr="0036210F">
              <w:rPr>
                <w:rFonts w:ascii="Times New Roman" w:hAnsi="Times New Roman"/>
                <w:lang w:val="uk-UA"/>
              </w:rPr>
              <w:lastRenderedPageBreak/>
              <w:t xml:space="preserve">Не зараховано з </w:t>
            </w:r>
            <w:r w:rsidRPr="0036210F">
              <w:rPr>
                <w:rFonts w:ascii="Times New Roman" w:hAnsi="Times New Roman"/>
                <w:lang w:val="uk-UA"/>
              </w:rPr>
              <w:lastRenderedPageBreak/>
              <w:t>обов’язковим повторним вивченням дисципліни</w:t>
            </w:r>
          </w:p>
        </w:tc>
      </w:tr>
    </w:tbl>
    <w:p w14:paraId="7EDFCD81" w14:textId="77777777" w:rsidR="006F6452" w:rsidRPr="0036210F" w:rsidRDefault="006F6452" w:rsidP="006F6452">
      <w:pPr>
        <w:widowControl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14:paraId="6ADBC42C" w14:textId="77777777" w:rsidR="006F6452" w:rsidRPr="0036210F" w:rsidRDefault="006F6452" w:rsidP="006F6452">
      <w:pPr>
        <w:widowControl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36210F">
        <w:rPr>
          <w:rFonts w:ascii="Times New Roman" w:hAnsi="Times New Roman"/>
          <w:color w:val="000000"/>
          <w:lang w:val="uk-UA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14:paraId="0C01C4FF" w14:textId="77777777" w:rsidR="006F6452" w:rsidRPr="0036210F" w:rsidRDefault="006F6452" w:rsidP="006F6452">
      <w:pPr>
        <w:tabs>
          <w:tab w:val="left" w:pos="-180"/>
        </w:tabs>
        <w:jc w:val="center"/>
        <w:rPr>
          <w:rFonts w:ascii="Times New Roman" w:hAnsi="Times New Roman"/>
          <w:b/>
          <w:bCs/>
          <w:lang w:val="uk-UA"/>
        </w:rPr>
      </w:pPr>
    </w:p>
    <w:p w14:paraId="3AEF2B9A" w14:textId="77777777" w:rsidR="006F6452" w:rsidRPr="0036210F" w:rsidRDefault="006F6452" w:rsidP="006F6452">
      <w:pPr>
        <w:tabs>
          <w:tab w:val="left" w:pos="-180"/>
        </w:tabs>
        <w:jc w:val="center"/>
        <w:rPr>
          <w:rFonts w:ascii="Times New Roman" w:hAnsi="Times New Roman"/>
          <w:b/>
          <w:bCs/>
          <w:lang w:val="uk-UA"/>
        </w:rPr>
      </w:pPr>
      <w:r w:rsidRPr="0036210F">
        <w:rPr>
          <w:rFonts w:ascii="Times New Roman" w:hAnsi="Times New Roman"/>
          <w:b/>
          <w:bCs/>
          <w:lang w:val="uk-UA"/>
        </w:rPr>
        <w:t>Шкала оцінювання якості засвоєння знань, умінь, навичок під час вивчення курсу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38"/>
        <w:gridCol w:w="1430"/>
      </w:tblGrid>
      <w:tr w:rsidR="006F6452" w:rsidRPr="0036210F" w14:paraId="4BEEDEAA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8EF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Оцінка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EF7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Кількість балів</w:t>
            </w:r>
          </w:p>
        </w:tc>
      </w:tr>
      <w:tr w:rsidR="006F6452" w:rsidRPr="0036210F" w14:paraId="014CA4E2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DCB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36210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ВІДМІННО.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 w:rsidRPr="0036210F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повному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незначною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кількістю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(1-2)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несуттєвих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вищий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D03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90-100</w:t>
            </w:r>
          </w:p>
        </w:tc>
      </w:tr>
      <w:tr w:rsidR="006F6452" w:rsidRPr="0036210F" w14:paraId="7B4C1205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EF1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6210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ДУЖЕ ДОБРЕ.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майже </w:t>
            </w:r>
            <w:r w:rsidRPr="0036210F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повному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/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зі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значною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кількістю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несуттєвих помилок </w:t>
            </w:r>
            <w:r w:rsidRPr="0036210F">
              <w:rPr>
                <w:rFonts w:ascii="Times New Roman" w:hAnsi="Times New Roman"/>
                <w:color w:val="000000"/>
              </w:rPr>
              <w:t>(3-4) (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вище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середнього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046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82-89</w:t>
            </w:r>
          </w:p>
        </w:tc>
      </w:tr>
      <w:tr w:rsidR="006F6452" w:rsidRPr="0036210F" w14:paraId="33D8A9C1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CCB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36210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ДОБРЕ.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 w:rsidRPr="0036210F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неповному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 w:rsidRPr="0036210F">
              <w:rPr>
                <w:rFonts w:ascii="Times New Roman" w:hAnsi="Times New Roman"/>
                <w:color w:val="000000"/>
                <w:lang w:val="uk-UA"/>
              </w:rPr>
              <w:t>/</w:t>
            </w:r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незначна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(1-2)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суттєвих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середній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EB4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74-81</w:t>
            </w:r>
          </w:p>
        </w:tc>
      </w:tr>
      <w:tr w:rsidR="006F6452" w:rsidRPr="0036210F" w14:paraId="7455D32B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D34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36210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ЗАДОВІЛЬНО.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 w:rsidRPr="0036210F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неповному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обсязі</w:t>
            </w:r>
            <w:proofErr w:type="spellEnd"/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/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значна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кількість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(3-5)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суттєвих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помилок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недоліків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нижче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середнього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рівня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06E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60-73</w:t>
            </w:r>
          </w:p>
        </w:tc>
      </w:tr>
      <w:tr w:rsidR="006F6452" w:rsidRPr="0036210F" w14:paraId="066FB8F4" w14:textId="77777777" w:rsidTr="001E2C56"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887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6210F">
              <w:rPr>
                <w:rFonts w:ascii="Times New Roman" w:hAnsi="Times New Roman"/>
                <w:b/>
                <w:bCs/>
                <w:color w:val="000000"/>
                <w:lang w:val="uk-UA"/>
              </w:rPr>
              <w:t xml:space="preserve">НЕЗАДОВІЛЬНО.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недостатнім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і не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задовольняє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мінімальні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вимоги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за </w:t>
            </w:r>
            <w:r w:rsidRPr="0036210F">
              <w:rPr>
                <w:rFonts w:ascii="Times New Roman" w:hAnsi="Times New Roman"/>
                <w:color w:val="000000"/>
              </w:rPr>
              <w:t xml:space="preserve">результатами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навчання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.</w:t>
            </w:r>
            <w:r w:rsidRPr="0036210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  <w:p w14:paraId="7520A8EA" w14:textId="77777777" w:rsidR="006F6452" w:rsidRPr="0036210F" w:rsidRDefault="006F6452" w:rsidP="001E2C56">
            <w:pPr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36210F">
              <w:rPr>
                <w:rFonts w:ascii="Times New Roman" w:hAnsi="Times New Roman"/>
                <w:color w:val="000000"/>
                <w:lang w:val="uk-UA"/>
              </w:rPr>
              <w:t>З</w:t>
            </w:r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можливістю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повторного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складання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модулю (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низький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6210F">
              <w:rPr>
                <w:rFonts w:ascii="Times New Roman" w:hAnsi="Times New Roman"/>
                <w:color w:val="000000"/>
              </w:rPr>
              <w:t>рівень</w:t>
            </w:r>
            <w:proofErr w:type="spellEnd"/>
            <w:r w:rsidRPr="0036210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9DB" w14:textId="77777777" w:rsidR="006F6452" w:rsidRPr="0036210F" w:rsidRDefault="006F6452" w:rsidP="001E2C56">
            <w:pPr>
              <w:widowControl/>
              <w:tabs>
                <w:tab w:val="left" w:pos="365"/>
              </w:tabs>
              <w:autoSpaceDE/>
              <w:adjustRightInd/>
              <w:jc w:val="center"/>
              <w:rPr>
                <w:rFonts w:ascii="Times New Roman" w:hAnsi="Times New Roman"/>
                <w:lang w:val="uk-UA"/>
              </w:rPr>
            </w:pPr>
            <w:r w:rsidRPr="0036210F">
              <w:rPr>
                <w:rFonts w:ascii="Times New Roman" w:hAnsi="Times New Roman"/>
                <w:lang w:val="uk-UA"/>
              </w:rPr>
              <w:t>0-59</w:t>
            </w:r>
          </w:p>
        </w:tc>
      </w:tr>
    </w:tbl>
    <w:p w14:paraId="6EBAD550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54B1"/>
    <w:multiLevelType w:val="hybridMultilevel"/>
    <w:tmpl w:val="2578B200"/>
    <w:lvl w:ilvl="0" w:tplc="E5B63A6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num w:numId="1" w16cid:durableId="59212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52"/>
    <w:rsid w:val="00384F76"/>
    <w:rsid w:val="004746D3"/>
    <w:rsid w:val="005E0BB6"/>
    <w:rsid w:val="006F6452"/>
    <w:rsid w:val="00C3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087"/>
  <w15:chartTrackingRefBased/>
  <w15:docId w15:val="{B11D681F-1E34-414B-BEAA-5E9338D6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5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6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6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4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64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6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6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6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64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6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6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64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6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64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6452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6F6452"/>
    <w:pPr>
      <w:spacing w:line="28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2024-06-15T16:31:00Z</dcterms:created>
  <dcterms:modified xsi:type="dcterms:W3CDTF">2024-06-15T16:31:00Z</dcterms:modified>
</cp:coreProperties>
</file>