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Різновиди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Нутрієнти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Функціонально-гомеостатична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диференційованого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11. Склад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травної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Біохімія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”.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енергетична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”.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поняттю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”.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>2</w:t>
      </w:r>
      <w:r w:rsidRPr="00112D9E">
        <w:rPr>
          <w:rFonts w:ascii="Times New Roman" w:hAnsi="Times New Roman" w:cs="Times New Roman"/>
          <w:sz w:val="28"/>
          <w:szCs w:val="28"/>
        </w:rPr>
        <w:t>4. Генно-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модифіковані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техногенних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lastRenderedPageBreak/>
        <w:t>продуктів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хімічна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Амінокислоти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незамінних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амінокислот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D9E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D9E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Поліненасичені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(ПНЖК)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ПНЖК.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продуктах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характеристика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Моносахариди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Дисахариди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Полісахариди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засвоювані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незасвоювані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продуктах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Дефіцит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lastRenderedPageBreak/>
        <w:t xml:space="preserve">52.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Гіповітаміноз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Гіпервітаміноз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Авітаміноз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Водорозчинні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, склад).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Жиророзчинні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, склад).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>57.</w:t>
      </w:r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Мікроелементи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склад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продуктах.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Макроелементи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склад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продуктах.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61. Вода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питний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діабеті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клітковини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D9E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D9E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клітковини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каш.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Калорійність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глікемічний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тренуваннях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низьких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температур.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гірського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часового поясу.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lastRenderedPageBreak/>
        <w:t xml:space="preserve">75.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Термічний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термічний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ефект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базальний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,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базального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вторинний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добові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79. Як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базальний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базальний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до спортивного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84. Режим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>27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відновлювальний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Асиміляція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Дисиміляція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Енергетичний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90. Потреба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білках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жирах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вуглеводах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91. Потреба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вітамінах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Питний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режим, режим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змагальний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марафонських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дистанціях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lastRenderedPageBreak/>
        <w:t xml:space="preserve">96.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циклічних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ациклічних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спорту.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довгожителів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людей (18-25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зрілого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Дієтологія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дієтотерапія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дієтичному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дієтотерапії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дієтотерапії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підбору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ваги.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109.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нормальною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підвищеною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кислотністю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виразковій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дванадцятипалої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кишки.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секреторною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недостатністю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запаленнях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кишок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коліти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ентероколіти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закрепах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, з метою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кишок.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хронічному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запаленні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кишок 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коліти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ентероколіти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проносом) з метою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кишок.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113.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захворюва</w:t>
      </w:r>
      <w:bookmarkStart w:id="0" w:name="_GoBack"/>
      <w:bookmarkEnd w:id="0"/>
      <w:r w:rsidRPr="00112D9E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жовчного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міхура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lastRenderedPageBreak/>
        <w:t xml:space="preserve">114.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подагрі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сечокислому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діатезі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115.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нефрити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пієлонефрити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,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пієлоцистити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116.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117.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діабеті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118.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Дієтхарчування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(атеросклероз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прояви: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інсульт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,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гіпертонічна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хвороба та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.).</w:t>
      </w:r>
    </w:p>
    <w:p w:rsidR="00112D9E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119.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піраміда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p w:rsidR="00446753" w:rsidRPr="00112D9E" w:rsidRDefault="00112D9E" w:rsidP="00112D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2D9E">
        <w:rPr>
          <w:rFonts w:ascii="Times New Roman" w:hAnsi="Times New Roman" w:cs="Times New Roman"/>
          <w:sz w:val="28"/>
          <w:szCs w:val="28"/>
        </w:rPr>
        <w:t xml:space="preserve">120.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D9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12D9E">
        <w:rPr>
          <w:rFonts w:ascii="Times New Roman" w:hAnsi="Times New Roman" w:cs="Times New Roman"/>
          <w:sz w:val="28"/>
          <w:szCs w:val="28"/>
        </w:rPr>
        <w:t>.</w:t>
      </w:r>
    </w:p>
    <w:sectPr w:rsidR="00446753" w:rsidRPr="0011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5B"/>
    <w:rsid w:val="00112D9E"/>
    <w:rsid w:val="00446753"/>
    <w:rsid w:val="00B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01B"/>
  <w15:chartTrackingRefBased/>
  <w15:docId w15:val="{C77452EB-54DE-4E18-B90E-215B67F3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3</cp:revision>
  <dcterms:created xsi:type="dcterms:W3CDTF">2024-01-31T16:03:00Z</dcterms:created>
  <dcterms:modified xsi:type="dcterms:W3CDTF">2024-01-31T16:04:00Z</dcterms:modified>
</cp:coreProperties>
</file>