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0E" w:rsidRPr="003A3FD8" w:rsidRDefault="00A2760E" w:rsidP="00A2760E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БУДІВНИЦТВА І АРХІТЕКТУРИ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right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A3F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Перший (бакалаврський) рівень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Кафедра </w:t>
      </w: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технологій захисту навколишнього середовища та охорони праці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          «</w:t>
      </w:r>
      <w:r w:rsidRPr="003A3FD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ЗАТВЕРДЖУЮ</w:t>
      </w:r>
      <w:r w:rsidRPr="003A3FD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»</w:t>
      </w:r>
    </w:p>
    <w:p w:rsidR="00A2760E" w:rsidRPr="00114BA1" w:rsidRDefault="00A2760E" w:rsidP="00A2760E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</w:pPr>
      <w:r w:rsidRPr="00114BA1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Декан </w:t>
      </w:r>
      <w:r w:rsidR="00114BA1" w:rsidRPr="00114BA1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будівельно-технологічного </w:t>
      </w:r>
      <w:r w:rsidRPr="00114BA1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факультету </w:t>
      </w:r>
      <w:r w:rsidR="00114BA1" w:rsidRPr="00114BA1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 </w:t>
      </w:r>
    </w:p>
    <w:p w:rsidR="00A2760E" w:rsidRPr="00114BA1" w:rsidRDefault="00A2760E" w:rsidP="00A2760E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</w:pPr>
    </w:p>
    <w:p w:rsidR="00A2760E" w:rsidRPr="00114BA1" w:rsidRDefault="005E76E6" w:rsidP="00A2760E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______________</w:t>
      </w:r>
      <w:r w:rsidR="00A2760E" w:rsidRPr="00114BA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/</w:t>
      </w:r>
      <w:r w:rsidR="00114BA1" w:rsidRPr="00114BA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Володимир ГОЦ</w:t>
      </w:r>
      <w:r w:rsidR="00A2760E" w:rsidRPr="00114BA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/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z w:val="20"/>
          <w:szCs w:val="24"/>
          <w:lang w:val="uk-UA" w:eastAsia="uk-UA"/>
        </w:rPr>
      </w:pPr>
      <w:r w:rsidRPr="00114BA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«____» _____________ 2022 </w:t>
      </w:r>
      <w:r w:rsidRPr="00114BA1">
        <w:rPr>
          <w:rFonts w:ascii="Times New Roman" w:eastAsia="Calibri" w:hAnsi="Times New Roman" w:cs="Times New Roman"/>
          <w:sz w:val="20"/>
          <w:szCs w:val="24"/>
          <w:lang w:val="uk-UA" w:eastAsia="uk-UA"/>
        </w:rPr>
        <w:t>року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t>РОБОЧА ПРОГРАМА ОСВІТНЬОЇ КОМПОНЕНТИ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Правознавство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sz w:val="18"/>
          <w:szCs w:val="28"/>
          <w:lang w:val="uk-UA" w:eastAsia="ru-RU"/>
        </w:rPr>
        <w:t>(назва освітньої компоненти)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582"/>
      </w:tblGrid>
      <w:tr w:rsidR="00A2760E" w:rsidRPr="003A3FD8" w:rsidTr="00A2760E">
        <w:trPr>
          <w:trHeight w:val="322"/>
        </w:trPr>
        <w:tc>
          <w:tcPr>
            <w:tcW w:w="821" w:type="dxa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</w:p>
        </w:tc>
      </w:tr>
      <w:tr w:rsidR="00A2760E" w:rsidRPr="003A3FD8" w:rsidTr="00A2760E">
        <w:trPr>
          <w:trHeight w:val="322"/>
        </w:trPr>
        <w:tc>
          <w:tcPr>
            <w:tcW w:w="821" w:type="dxa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161</w:t>
            </w:r>
          </w:p>
        </w:tc>
        <w:tc>
          <w:tcPr>
            <w:tcW w:w="8805" w:type="dxa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 </w:t>
            </w:r>
            <w:r w:rsidRPr="00A2760E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Хімічні </w:t>
            </w: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технології та інженерія</w:t>
            </w:r>
          </w:p>
        </w:tc>
      </w:tr>
    </w:tbl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A2760E" w:rsidRPr="003A3FD8" w:rsidTr="00A2760E">
        <w:trPr>
          <w:trHeight w:val="297"/>
        </w:trPr>
        <w:tc>
          <w:tcPr>
            <w:tcW w:w="5000" w:type="pct"/>
            <w:gridSpan w:val="2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Розробники:</w:t>
            </w:r>
          </w:p>
        </w:tc>
      </w:tr>
      <w:tr w:rsidR="00A2760E" w:rsidRPr="003A3FD8" w:rsidTr="00A2760E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Петренко Д.В., 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ст.викладач</w:t>
            </w:r>
            <w:proofErr w:type="spellEnd"/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A2760E" w:rsidRPr="003A3FD8" w:rsidTr="00A2760E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A2760E" w:rsidRPr="003A3FD8" w:rsidTr="00A2760E">
        <w:tc>
          <w:tcPr>
            <w:tcW w:w="3692" w:type="pct"/>
            <w:tcBorders>
              <w:bottom w:val="nil"/>
            </w:tcBorders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</w:tbl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Робоча програма затверджена на засіданні кафедри технологій захисту навколишнього середовища та охорони праці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2760E" w:rsidRPr="003A3FD8" w:rsidRDefault="00A2760E" w:rsidP="00A2760E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Протокол № 11</w:t>
      </w:r>
      <w:r w:rsidRPr="003A3FD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3A3FD8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від «29» червня 2022 року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2760E" w:rsidRPr="003A3FD8" w:rsidRDefault="00A2760E" w:rsidP="00A2760E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ТЗНС та ОП  </w:t>
      </w: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/Тетяна ТКАЧЕНКО/</w:t>
      </w:r>
    </w:p>
    <w:p w:rsidR="00A2760E" w:rsidRPr="003A3FD8" w:rsidRDefault="00A2760E" w:rsidP="00A2760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                                                                        (підпис)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right="2028"/>
        <w:contextualSpacing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3E7047" w:rsidRDefault="00A2760E" w:rsidP="003E7047">
      <w:pPr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Схвалено гарантом освітньої програми </w:t>
      </w:r>
      <w:r w:rsidR="003E7047" w:rsidRPr="003E70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«Новітні технології та дизайн сучасних стінових і оздоблювальних матеріалів» </w:t>
      </w:r>
    </w:p>
    <w:p w:rsidR="00A2760E" w:rsidRPr="003A3FD8" w:rsidRDefault="00A2760E" w:rsidP="003E7047">
      <w:pPr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Гарант ОП </w:t>
      </w:r>
      <w:r w:rsidR="003E704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_________________________      </w:t>
      </w:r>
      <w:r w:rsidR="003E704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/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Марина СУХАНЕВИЧ</w:t>
      </w: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</w:t>
      </w:r>
    </w:p>
    <w:p w:rsidR="00A2760E" w:rsidRPr="003A3FD8" w:rsidRDefault="00A2760E" w:rsidP="00A2760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</w:t>
      </w:r>
      <w:r w:rsidR="003E7047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</w:t>
      </w:r>
      <w:r w:rsidRPr="003A3FD8">
        <w:rPr>
          <w:rFonts w:ascii="Times New Roman" w:eastAsia="Calibri" w:hAnsi="Times New Roman" w:cs="Times New Roman"/>
          <w:sz w:val="18"/>
          <w:szCs w:val="28"/>
          <w:lang w:val="uk-UA" w:eastAsia="uk-UA"/>
        </w:rPr>
        <w:t>(підпис)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A2760E" w:rsidRDefault="00A2760E" w:rsidP="00A2760E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Розглянуто на засіданні науково-методичної комісії спеціальності </w:t>
      </w:r>
    </w:p>
    <w:p w:rsidR="003E7047" w:rsidRDefault="003E7047" w:rsidP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E704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161 «Хімічні технології та інженерія»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i/>
          <w:sz w:val="24"/>
          <w:szCs w:val="24"/>
          <w:lang w:eastAsia="ru-RU"/>
        </w:rPr>
      </w:pPr>
      <w:r w:rsidRPr="003A3FD8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Протокол № ____ від «____» ___________ 2022 року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  <w:sectPr w:rsidR="00A2760E" w:rsidRPr="003A3FD8" w:rsidSect="00A2760E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lastRenderedPageBreak/>
        <w:t xml:space="preserve">ВИТЯГ З РОБОЧОГО НАВЧАЛЬНОГО ПЛАНУ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 xml:space="preserve">на 2022-2023 </w:t>
      </w:r>
      <w:proofErr w:type="spellStart"/>
      <w:r w:rsidRPr="003A3FD8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>навч.роки</w:t>
      </w:r>
      <w:proofErr w:type="spellEnd"/>
    </w:p>
    <w:p w:rsidR="00A2760E" w:rsidRPr="003A3FD8" w:rsidRDefault="00A2760E" w:rsidP="00A2760E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861"/>
        <w:gridCol w:w="591"/>
        <w:gridCol w:w="635"/>
        <w:gridCol w:w="635"/>
        <w:gridCol w:w="577"/>
        <w:gridCol w:w="611"/>
        <w:gridCol w:w="529"/>
        <w:gridCol w:w="655"/>
        <w:gridCol w:w="627"/>
        <w:gridCol w:w="614"/>
        <w:gridCol w:w="690"/>
        <w:gridCol w:w="885"/>
        <w:gridCol w:w="636"/>
        <w:gridCol w:w="635"/>
        <w:gridCol w:w="1470"/>
      </w:tblGrid>
      <w:tr w:rsidR="00A2760E" w:rsidRPr="003A3FD8" w:rsidTr="00A2760E">
        <w:tc>
          <w:tcPr>
            <w:tcW w:w="949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A2760E" w:rsidRPr="003A3FD8" w:rsidTr="00A2760E"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lang w:eastAsia="uk-UA"/>
              </w:rPr>
              <w:t>Обсяг</w:t>
            </w:r>
            <w:proofErr w:type="spellEnd"/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rPr>
          <w:trHeight w:val="856"/>
        </w:trPr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31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c>
          <w:tcPr>
            <w:tcW w:w="949" w:type="dxa"/>
          </w:tcPr>
          <w:p w:rsidR="00A2760E" w:rsidRPr="003A3FD8" w:rsidRDefault="00A2760E" w:rsidP="003E70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В</w:t>
            </w:r>
            <w:r w:rsidRPr="003A3FD8">
              <w:rPr>
                <w:rFonts w:ascii="Times New Roman" w:eastAsia="Calibri" w:hAnsi="Times New Roman" w:cs="Times New Roman"/>
                <w:lang w:val="uk-UA" w:eastAsia="ru-RU"/>
              </w:rPr>
              <w:t xml:space="preserve">К </w:t>
            </w:r>
            <w:r w:rsidR="003E7047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</w:tc>
        <w:tc>
          <w:tcPr>
            <w:tcW w:w="426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615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</w:p>
        </w:tc>
        <w:tc>
          <w:tcPr>
            <w:tcW w:w="642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A2760E" w:rsidRPr="003A3FD8" w:rsidRDefault="00A2760E" w:rsidP="00C6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</w:t>
            </w:r>
            <w:r w:rsidR="00C652CB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606" w:type="dxa"/>
            <w:vAlign w:val="center"/>
          </w:tcPr>
          <w:p w:rsidR="00A2760E" w:rsidRPr="003A3FD8" w:rsidRDefault="003E7047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  <w:r w:rsidR="00A2760E"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0</w:t>
            </w:r>
          </w:p>
        </w:tc>
        <w:tc>
          <w:tcPr>
            <w:tcW w:w="625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uk-UA"/>
              </w:rPr>
            </w:pPr>
          </w:p>
        </w:tc>
        <w:tc>
          <w:tcPr>
            <w:tcW w:w="529" w:type="dxa"/>
            <w:vAlign w:val="center"/>
          </w:tcPr>
          <w:p w:rsidR="00A2760E" w:rsidRPr="003A3FD8" w:rsidRDefault="003E7047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14</w:t>
            </w:r>
          </w:p>
        </w:tc>
        <w:tc>
          <w:tcPr>
            <w:tcW w:w="312" w:type="dxa"/>
            <w:vAlign w:val="center"/>
          </w:tcPr>
          <w:p w:rsidR="00A2760E" w:rsidRPr="003A3FD8" w:rsidRDefault="003E7047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46</w:t>
            </w:r>
          </w:p>
        </w:tc>
        <w:tc>
          <w:tcPr>
            <w:tcW w:w="632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Зал.</w:t>
            </w:r>
          </w:p>
        </w:tc>
        <w:tc>
          <w:tcPr>
            <w:tcW w:w="642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7</w:t>
            </w:r>
          </w:p>
        </w:tc>
        <w:tc>
          <w:tcPr>
            <w:tcW w:w="1482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2760E" w:rsidRPr="003A3FD8" w:rsidRDefault="00A2760E" w:rsidP="00A276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865"/>
        <w:gridCol w:w="591"/>
        <w:gridCol w:w="635"/>
        <w:gridCol w:w="635"/>
        <w:gridCol w:w="572"/>
        <w:gridCol w:w="611"/>
        <w:gridCol w:w="529"/>
        <w:gridCol w:w="655"/>
        <w:gridCol w:w="627"/>
        <w:gridCol w:w="615"/>
        <w:gridCol w:w="690"/>
        <w:gridCol w:w="885"/>
        <w:gridCol w:w="636"/>
        <w:gridCol w:w="635"/>
        <w:gridCol w:w="1470"/>
      </w:tblGrid>
      <w:tr w:rsidR="00A2760E" w:rsidRPr="003A3FD8" w:rsidTr="00A2760E">
        <w:tc>
          <w:tcPr>
            <w:tcW w:w="949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A2760E" w:rsidRPr="003A3FD8" w:rsidTr="00A2760E"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lang w:eastAsia="uk-UA"/>
              </w:rPr>
              <w:t>Обсяг</w:t>
            </w:r>
            <w:proofErr w:type="spellEnd"/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rPr>
          <w:trHeight w:val="856"/>
        </w:trPr>
        <w:tc>
          <w:tcPr>
            <w:tcW w:w="949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31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2760E" w:rsidRPr="003A3FD8" w:rsidTr="00A2760E">
        <w:tc>
          <w:tcPr>
            <w:tcW w:w="949" w:type="dxa"/>
          </w:tcPr>
          <w:p w:rsidR="00A2760E" w:rsidRPr="005E76E6" w:rsidRDefault="005E76E6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ВК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8</w:t>
            </w:r>
          </w:p>
        </w:tc>
        <w:tc>
          <w:tcPr>
            <w:tcW w:w="4266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615" w:type="dxa"/>
            <w:vAlign w:val="center"/>
          </w:tcPr>
          <w:p w:rsidR="00A2760E" w:rsidRPr="00114BA1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114BA1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</w:p>
        </w:tc>
        <w:tc>
          <w:tcPr>
            <w:tcW w:w="642" w:type="dxa"/>
            <w:vAlign w:val="center"/>
          </w:tcPr>
          <w:p w:rsidR="00A2760E" w:rsidRPr="00114BA1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114BA1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A2760E" w:rsidRPr="00114BA1" w:rsidRDefault="00114BA1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A2760E" w:rsidRPr="00114BA1" w:rsidRDefault="00114BA1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A2760E" w:rsidRPr="00114BA1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uk-UA"/>
              </w:rPr>
            </w:pPr>
          </w:p>
        </w:tc>
        <w:tc>
          <w:tcPr>
            <w:tcW w:w="529" w:type="dxa"/>
            <w:vAlign w:val="center"/>
          </w:tcPr>
          <w:p w:rsidR="00A2760E" w:rsidRPr="00114BA1" w:rsidRDefault="00114BA1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312" w:type="dxa"/>
            <w:vAlign w:val="center"/>
          </w:tcPr>
          <w:p w:rsidR="00A2760E" w:rsidRPr="00114BA1" w:rsidRDefault="00114BA1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A2760E" w:rsidRPr="00114BA1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:rsidR="00A2760E" w:rsidRPr="00114BA1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A2760E" w:rsidRPr="00114BA1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A2760E" w:rsidRPr="00114BA1" w:rsidRDefault="00A2760E" w:rsidP="00A276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14BA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Зал.</w:t>
            </w:r>
          </w:p>
        </w:tc>
        <w:tc>
          <w:tcPr>
            <w:tcW w:w="642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82" w:type="dxa"/>
            <w:vAlign w:val="center"/>
          </w:tcPr>
          <w:p w:rsidR="00A2760E" w:rsidRPr="003A3FD8" w:rsidRDefault="00A2760E" w:rsidP="00A2760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2760E" w:rsidRPr="003A3FD8" w:rsidRDefault="00A2760E" w:rsidP="00A276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A2760E" w:rsidRPr="003A3FD8" w:rsidSect="00A2760E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  <w:bookmarkStart w:id="0" w:name="_GoBack"/>
      <w:bookmarkEnd w:id="0"/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lastRenderedPageBreak/>
        <w:t>Мета та завдання освітньої компонети</w:t>
      </w:r>
    </w:p>
    <w:p w:rsidR="00A2760E" w:rsidRPr="003A3FD8" w:rsidRDefault="00A2760E" w:rsidP="00A276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u w:val="single"/>
          <w:lang w:val="uk-UA"/>
        </w:rPr>
        <w:t xml:space="preserve"> Метою</w:t>
      </w:r>
      <w:r w:rsidRPr="003A3FD8">
        <w:rPr>
          <w:rFonts w:ascii="Times New Roman" w:hAnsi="Times New Roman"/>
          <w:sz w:val="28"/>
          <w:szCs w:val="28"/>
          <w:lang w:val="uk-UA"/>
        </w:rPr>
        <w:t xml:space="preserve"> даної дисципліни є одержання студентами   знань з теорії права і держави, основ конституційного, адміністративного, цивільного, трудового та інших галузей права задля підвищення рівня  правосвідомості та правової культури. Знання з даної дисципліни, одержані на лекціях та семінарах, а також у процесі самостійного вивчення навчального матеріалу, повинні сприяти виробленню уміння орієнтуватися у діючому національному  законодавстві,   а також правильному застосуванню правових норм у конкретних правовідносинах.</w:t>
      </w:r>
    </w:p>
    <w:p w:rsidR="00A2760E" w:rsidRPr="003A3FD8" w:rsidRDefault="00A2760E" w:rsidP="00A2760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u w:val="single"/>
          <w:lang w:val="uk-UA"/>
        </w:rPr>
        <w:t>Завданням</w:t>
      </w:r>
      <w:r w:rsidRPr="003A3FD8">
        <w:rPr>
          <w:rFonts w:ascii="Times New Roman" w:hAnsi="Times New Roman"/>
          <w:sz w:val="28"/>
          <w:szCs w:val="28"/>
          <w:lang w:val="uk-UA"/>
        </w:rPr>
        <w:t xml:space="preserve"> вивчення даної дисципліни є:</w:t>
      </w:r>
    </w:p>
    <w:p w:rsidR="00A2760E" w:rsidRPr="003A3FD8" w:rsidRDefault="00A2760E" w:rsidP="00A27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опанування теоретичною базою в сфері основних галузей права України;</w:t>
      </w:r>
    </w:p>
    <w:p w:rsidR="00A2760E" w:rsidRPr="003A3FD8" w:rsidRDefault="00A2760E" w:rsidP="00A27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формування логіко-понятійного апарату в галузі правових знань;</w:t>
      </w:r>
    </w:p>
    <w:p w:rsidR="00A2760E" w:rsidRPr="003A3FD8" w:rsidRDefault="00A2760E" w:rsidP="00A27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одержання базових правових знань у процесі вивчення основних  нормативно-правових актів у галузі  провідних галузей права;</w:t>
      </w:r>
    </w:p>
    <w:p w:rsidR="00A2760E" w:rsidRPr="003A3FD8" w:rsidRDefault="00A2760E" w:rsidP="00A27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набуття навичок правового захисту прав та законних інтересів громадян при їх порушенні.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327"/>
      </w:tblGrid>
      <w:tr w:rsidR="00A2760E" w:rsidRPr="003A3FD8" w:rsidTr="00A2760E">
        <w:tc>
          <w:tcPr>
            <w:tcW w:w="1171" w:type="dxa"/>
            <w:shd w:val="clear" w:color="auto" w:fill="auto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27" w:type="dxa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3A3FD8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Зміст компетентності</w:t>
            </w:r>
          </w:p>
        </w:tc>
      </w:tr>
      <w:tr w:rsidR="00A2760E" w:rsidRPr="003A3FD8" w:rsidTr="00A2760E">
        <w:tc>
          <w:tcPr>
            <w:tcW w:w="9498" w:type="dxa"/>
            <w:gridSpan w:val="2"/>
            <w:shd w:val="clear" w:color="auto" w:fill="auto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val="uk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Інтегральна компетентність</w:t>
            </w:r>
          </w:p>
        </w:tc>
      </w:tr>
      <w:tr w:rsidR="00A2760E" w:rsidRPr="005E76E6" w:rsidTr="00A2760E">
        <w:tc>
          <w:tcPr>
            <w:tcW w:w="1171" w:type="dxa"/>
            <w:shd w:val="clear" w:color="auto" w:fill="auto"/>
          </w:tcPr>
          <w:p w:rsidR="00A2760E" w:rsidRPr="003A3FD8" w:rsidRDefault="00A2760E" w:rsidP="00A27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  <w:p w:rsidR="00A2760E" w:rsidRPr="003A3FD8" w:rsidRDefault="00A2760E" w:rsidP="00A276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7" w:type="dxa"/>
          </w:tcPr>
          <w:p w:rsidR="00A2760E" w:rsidRPr="00FA3300" w:rsidRDefault="00FA3300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A33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вирішувати складні спеціалізовані задачі та практичні проблеми хімічних технологій та інженерії, що передбачає застосування теорій та методів хімічних технологій та інженерії і характеризується комплексністю та невизначеністю умов.</w:t>
            </w:r>
          </w:p>
        </w:tc>
      </w:tr>
      <w:tr w:rsidR="00A2760E" w:rsidRPr="003A3FD8" w:rsidTr="00A2760E">
        <w:tc>
          <w:tcPr>
            <w:tcW w:w="9498" w:type="dxa"/>
            <w:gridSpan w:val="2"/>
            <w:shd w:val="clear" w:color="auto" w:fill="auto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Загальні компетентності</w:t>
            </w:r>
          </w:p>
        </w:tc>
      </w:tr>
      <w:tr w:rsidR="00A2760E" w:rsidRPr="00A2760E" w:rsidTr="00A2760E">
        <w:trPr>
          <w:trHeight w:val="653"/>
        </w:trPr>
        <w:tc>
          <w:tcPr>
            <w:tcW w:w="1171" w:type="dxa"/>
            <w:shd w:val="clear" w:color="auto" w:fill="auto"/>
          </w:tcPr>
          <w:p w:rsidR="00A2760E" w:rsidRPr="00222842" w:rsidRDefault="00A2760E" w:rsidP="00A27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FA3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  <w:p w:rsidR="00A2760E" w:rsidRPr="003A3FD8" w:rsidRDefault="00A2760E" w:rsidP="00A276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27" w:type="dxa"/>
          </w:tcPr>
          <w:p w:rsidR="00FA3300" w:rsidRPr="00FA3300" w:rsidRDefault="00FA3300" w:rsidP="00FA33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2760E" w:rsidRPr="00B91B31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2760E" w:rsidRPr="003A3FD8" w:rsidTr="00A2760E">
        <w:trPr>
          <w:trHeight w:val="526"/>
        </w:trPr>
        <w:tc>
          <w:tcPr>
            <w:tcW w:w="1171" w:type="dxa"/>
            <w:shd w:val="clear" w:color="auto" w:fill="auto"/>
          </w:tcPr>
          <w:p w:rsidR="00A2760E" w:rsidRPr="00222842" w:rsidRDefault="00A2760E" w:rsidP="00A27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FA3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  <w:p w:rsidR="00A2760E" w:rsidRPr="003A3FD8" w:rsidRDefault="00A2760E" w:rsidP="00A27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7" w:type="dxa"/>
          </w:tcPr>
          <w:p w:rsidR="00A2760E" w:rsidRPr="00B91B31" w:rsidRDefault="00FA3300" w:rsidP="00F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предметної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2760E" w:rsidRPr="003A3FD8" w:rsidTr="00A2760E">
        <w:trPr>
          <w:trHeight w:val="311"/>
        </w:trPr>
        <w:tc>
          <w:tcPr>
            <w:tcW w:w="1171" w:type="dxa"/>
            <w:shd w:val="clear" w:color="auto" w:fill="auto"/>
          </w:tcPr>
          <w:p w:rsidR="00A2760E" w:rsidRPr="00222842" w:rsidRDefault="00A2760E" w:rsidP="00A27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FA3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A2760E" w:rsidRPr="003A3FD8" w:rsidRDefault="00A2760E" w:rsidP="00A27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7" w:type="dxa"/>
          </w:tcPr>
          <w:p w:rsidR="00A2760E" w:rsidRPr="003A3FD8" w:rsidRDefault="00FA3300" w:rsidP="00F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760E" w:rsidRPr="005E76E6" w:rsidTr="00A2760E">
        <w:trPr>
          <w:trHeight w:val="311"/>
        </w:trPr>
        <w:tc>
          <w:tcPr>
            <w:tcW w:w="1171" w:type="dxa"/>
            <w:shd w:val="clear" w:color="auto" w:fill="auto"/>
          </w:tcPr>
          <w:p w:rsidR="00A2760E" w:rsidRPr="00222842" w:rsidRDefault="00A2760E" w:rsidP="00FA33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FA3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8327" w:type="dxa"/>
          </w:tcPr>
          <w:p w:rsidR="00A2760E" w:rsidRPr="00FA3300" w:rsidRDefault="00FA3300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</w:tbl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A2760E" w:rsidRPr="003A3FD8" w:rsidTr="00A2760E">
        <w:tc>
          <w:tcPr>
            <w:tcW w:w="1134" w:type="dxa"/>
            <w:shd w:val="clear" w:color="auto" w:fill="auto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64" w:type="dxa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3A3FD8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Програмні результати</w:t>
            </w:r>
          </w:p>
        </w:tc>
      </w:tr>
      <w:tr w:rsidR="00A2760E" w:rsidRPr="005E76E6" w:rsidTr="00A2760E">
        <w:trPr>
          <w:trHeight w:val="873"/>
        </w:trPr>
        <w:tc>
          <w:tcPr>
            <w:tcW w:w="1134" w:type="dxa"/>
            <w:shd w:val="clear" w:color="auto" w:fill="auto"/>
          </w:tcPr>
          <w:p w:rsidR="00A2760E" w:rsidRPr="003A3FD8" w:rsidRDefault="00A2760E" w:rsidP="00A27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</w:t>
            </w:r>
            <w:r w:rsidR="00FA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A2760E" w:rsidRPr="003A3FD8" w:rsidRDefault="00A2760E" w:rsidP="00A276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FA3300" w:rsidRPr="00FA3300" w:rsidRDefault="00FA3300" w:rsidP="00FA330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A3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Застосовувати базові професійні й наукові знання 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A3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галузі соціально-гуманітарних та економічних наук 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A3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пізнавальній та професійній діяльності</w:t>
            </w:r>
          </w:p>
          <w:p w:rsidR="00A2760E" w:rsidRPr="00B91B31" w:rsidRDefault="00A2760E" w:rsidP="00FA330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2760E" w:rsidRPr="003A3FD8" w:rsidTr="00A2760E">
        <w:tc>
          <w:tcPr>
            <w:tcW w:w="1134" w:type="dxa"/>
            <w:shd w:val="clear" w:color="auto" w:fill="auto"/>
          </w:tcPr>
          <w:p w:rsidR="00A2760E" w:rsidRPr="003A3FD8" w:rsidRDefault="00A2760E" w:rsidP="00A276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</w:t>
            </w:r>
            <w:r w:rsidR="00FA3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A2760E" w:rsidRPr="003A3FD8" w:rsidRDefault="00FA3300" w:rsidP="00FA330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A33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Дотримуватись сучасних вимог нормативної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A33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документації в галузі будівництва підприємств хімічної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A33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промисловості.</w:t>
            </w:r>
          </w:p>
        </w:tc>
      </w:tr>
    </w:tbl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B91B31" w:rsidRDefault="00A2760E" w:rsidP="00A2760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1B3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Програма дисципліни</w:t>
      </w:r>
    </w:p>
    <w:p w:rsidR="00A2760E" w:rsidRPr="00FA3300" w:rsidRDefault="00A2760E" w:rsidP="00A2760E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1</w:t>
      </w:r>
    </w:p>
    <w:p w:rsidR="00FA3300" w:rsidRPr="00FA3300" w:rsidRDefault="00FA3300" w:rsidP="00FA330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«Основи теорії держави і права»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1. Основи теорії держави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Виникнення держави. Теорії походження держави.</w:t>
      </w:r>
    </w:p>
    <w:p w:rsidR="00FA3300" w:rsidRPr="00FA3300" w:rsidRDefault="00FA3300" w:rsidP="00FA33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та ознаки держави.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функції держави.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Форма держави.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Громадянське суспільство та правова держава.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3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</w:t>
      </w: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33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2,3. Основи теорії права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Причини та умови виникнення права.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права (сутність, принципи, функції).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Джерела права.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Система права.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Правові відносини: поняття, ознаки, структура правовідносин.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Правомірна поведінка: поняття та класифікація.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Правопорушення: поняття правопорушення та його склад.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Юридична відповідальність: поняття, ознаки та  підстави.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2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галузей права України»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4,5.</w:t>
      </w: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конституційного права України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Конституційне право України: поняття і система. Загальна характеристика Конституції України.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Народовладдя в Україні та форми його здійснення.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Загальна характеристика системи органів державної влади і місцевого </w:t>
      </w: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самоврядування в Україні.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 6, 7</w:t>
      </w: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адміністративного права України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Адміністративне право України: поняття і система. Загальна характеристика Кодексу України про адміністративні правопорушення.</w:t>
      </w:r>
    </w:p>
    <w:p w:rsidR="00FA3300" w:rsidRPr="00FA3300" w:rsidRDefault="00FA3300" w:rsidP="00FA3300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Адміністративно-правові відносини.</w:t>
      </w:r>
    </w:p>
    <w:p w:rsidR="00FA3300" w:rsidRPr="00FA3300" w:rsidRDefault="00FA3300" w:rsidP="00FA3300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Права та обов’язки громадян у сфері державного управління.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Адміністративні правопорушення. Поняття складу адміністративного правопорушення.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Адміністративна відповідальність та порядок її застосування.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3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 8,9,10,11. </w:t>
      </w: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цивільного права України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Цивільне право України: поняття і система. Загальна характеристика Цивільного кодексу України.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Цивільно-правові відносини.</w:t>
      </w:r>
    </w:p>
    <w:p w:rsidR="00FA3300" w:rsidRPr="00FA3300" w:rsidRDefault="00FA3300" w:rsidP="00FA3300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Право власності.</w:t>
      </w:r>
    </w:p>
    <w:p w:rsidR="00FA3300" w:rsidRPr="00FA3300" w:rsidRDefault="00FA3300" w:rsidP="00FA3300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Цивільно-правовий договір. </w:t>
      </w:r>
      <w:proofErr w:type="spellStart"/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Pr="00FA33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</w:t>
      </w:r>
      <w:proofErr w:type="spellEnd"/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Цивільно-правова відповідальність та порядок її застосування.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Інститут спадкування: поняття, види та порядок спадкування.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 12, 13,14,15 </w:t>
      </w: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трудового права України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Трудове право України: поняття і система. Загальна характеристика Кодексу законів про працю України.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Трудові правовідносини.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Трудовий договір: поняття, види, порядок укладення та припинення.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Поняття і види робочого часу і часу відпочинку.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Трудова дисципліна. </w:t>
      </w:r>
      <w:r w:rsidRPr="00FA33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Дисциплінарна відповідальність </w:t>
      </w: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порядок її застосування.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Матеріальна відповідальність та порядок її застосування.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3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«Набуття загальних навичок застосування правових норм  у професійній діяльності і повсякденному житті»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1-6</w:t>
      </w:r>
      <w:r w:rsidRPr="00FA33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FA3300" w:rsidRPr="00FA3300" w:rsidRDefault="00FA3300" w:rsidP="00FA3300">
      <w:pPr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студентів з питань, що розглядалися на лекціях, а також тих, що давалися на самостійне опрацювання. 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Вирішування ситуативних завдань, запропонованих викладачем, шляхом застосування відповідних нормативних актів.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Поточне оцінювання.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7.</w:t>
      </w:r>
    </w:p>
    <w:p w:rsidR="00FA3300" w:rsidRPr="00FA3300" w:rsidRDefault="00FA3300" w:rsidP="00FA3300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33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останньому практичному занятті студенти повинні захистити підготовлені ними реферати на одну із запропонованих викладачем тем.</w:t>
      </w:r>
    </w:p>
    <w:p w:rsidR="00A2760E" w:rsidRPr="003A3FD8" w:rsidRDefault="00A2760E" w:rsidP="00A2760E">
      <w:pPr>
        <w:tabs>
          <w:tab w:val="left" w:pos="1843"/>
          <w:tab w:val="left" w:pos="1985"/>
        </w:tabs>
        <w:spacing w:after="0" w:line="240" w:lineRule="auto"/>
        <w:ind w:right="-88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ind w:right="-8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Тематика виконання домашнього завдання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Верховна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вищий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законодавчої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влади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президентури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Кабінет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Міністрів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вищий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влади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Судова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суди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загальної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юрисдикції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Судова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вищі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спеціал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зовані</w:t>
      </w:r>
      <w:proofErr w:type="spellEnd"/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суди.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Конституційний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орган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конституційної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юрисдикції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омбудсмана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світі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Уповноважений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Президента з прав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дитини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місцевого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Служба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безпеки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Державна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служба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Нотаріат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Адвокатура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громадянства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Політико-правовий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статус особи і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громадянина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виборів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безпосередньої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демократії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Україні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760E" w:rsidRPr="001D3B6E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Юридична відповідальність у сфері будів</w:t>
      </w:r>
      <w:r w:rsidR="00FA330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ельної діяльності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A2760E" w:rsidRPr="003A3FD8" w:rsidRDefault="00A2760E" w:rsidP="00A2760E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Індивідуальне завдання</w:t>
      </w:r>
    </w:p>
    <w:p w:rsidR="00A2760E" w:rsidRPr="003A3FD8" w:rsidRDefault="00A2760E" w:rsidP="00A2760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/>
          <w:b/>
          <w:sz w:val="28"/>
          <w:szCs w:val="28"/>
          <w:lang w:val="uk-UA"/>
        </w:rPr>
        <w:t xml:space="preserve"> Типове завдання модульної контрольної роботи (приклад 1)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Тестові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Сутність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полягає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тому,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воно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є: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соціальним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регулятором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поведінки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людей, 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засобом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подолання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неузгодженостей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сприяє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розвитку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людської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цивілізації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глобальних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цінностей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мірою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свободи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рівності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втіленням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справедливості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системою правил, які регулюють усі відносини між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суб»єктами</w:t>
      </w:r>
      <w:proofErr w:type="spellEnd"/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правильними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відповіді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); б); в); г).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ІІ.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Розкрийте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зміст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охоронної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функції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права.</w:t>
      </w:r>
    </w:p>
    <w:p w:rsidR="00A2760E" w:rsidRPr="003A3FD8" w:rsidRDefault="00A2760E" w:rsidP="00A2760E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ІІІ. Задача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C652CB" w:rsidRDefault="00C652CB" w:rsidP="00A27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Належне виконання контрольної модульної роботи потребує обрання правильної відповіді на тестове завдання, надання характеристики зазначеної функції права та вирішення ситуативного завдання з даної тематики шляхом аналізу та застосування відповідних положень  нормативно-правових актів. 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60E" w:rsidRPr="003A3FD8" w:rsidRDefault="00A2760E" w:rsidP="00A2760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/>
          <w:b/>
          <w:sz w:val="28"/>
          <w:szCs w:val="28"/>
          <w:lang w:val="uk-UA"/>
        </w:rPr>
        <w:t>Типове завдання для виконання практичного завдання (приклад 2)</w:t>
      </w:r>
    </w:p>
    <w:p w:rsidR="00A2760E" w:rsidRPr="003A3FD8" w:rsidRDefault="00A2760E" w:rsidP="00A2760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 xml:space="preserve">1. Розкрийте сутність та правове значення принципу поділу влади у державі. Якими державними органами представлена кожна з гілок влади в  Україні?  </w:t>
      </w:r>
    </w:p>
    <w:p w:rsidR="00A2760E" w:rsidRPr="003A3FD8" w:rsidRDefault="00A2760E" w:rsidP="00A2760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2. Схарактеризуйте засади правового порядку в Україні.  У чому полягає пряма дія норм Конституції України ?</w:t>
      </w:r>
    </w:p>
    <w:p w:rsidR="00A2760E" w:rsidRPr="003A3FD8" w:rsidRDefault="00A2760E" w:rsidP="00A2760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3. Схарактеризуйте основні права та обов’язки громадян.</w:t>
      </w:r>
    </w:p>
    <w:p w:rsidR="00A2760E" w:rsidRPr="003A3FD8" w:rsidRDefault="00A2760E" w:rsidP="00A276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 xml:space="preserve">Правильне виконання контрольної роботи потребує надання ґрунтовної відповіді, підкріпленої відповідними статтями Конституції України.  </w:t>
      </w:r>
    </w:p>
    <w:p w:rsidR="00A2760E" w:rsidRPr="003A3FD8" w:rsidRDefault="00A2760E" w:rsidP="00A2760E">
      <w:pPr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6408"/>
        <w:gridCol w:w="2235"/>
      </w:tblGrid>
      <w:tr w:rsidR="00A2760E" w:rsidRPr="003A3FD8" w:rsidTr="00A2760E">
        <w:tc>
          <w:tcPr>
            <w:tcW w:w="709" w:type="dxa"/>
          </w:tcPr>
          <w:p w:rsidR="00A2760E" w:rsidRPr="003A3FD8" w:rsidRDefault="00A2760E" w:rsidP="00A276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6452" w:type="dxa"/>
          </w:tcPr>
          <w:p w:rsidR="00A2760E" w:rsidRPr="003A3FD8" w:rsidRDefault="00A2760E" w:rsidP="00A276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 </w:t>
            </w:r>
          </w:p>
        </w:tc>
        <w:tc>
          <w:tcPr>
            <w:tcW w:w="2244" w:type="dxa"/>
          </w:tcPr>
          <w:p w:rsidR="00A2760E" w:rsidRPr="003A3FD8" w:rsidRDefault="00A2760E" w:rsidP="00A276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2760E" w:rsidRPr="003A3FD8" w:rsidTr="00A2760E">
        <w:tc>
          <w:tcPr>
            <w:tcW w:w="709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6452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2244" w:type="dxa"/>
          </w:tcPr>
          <w:p w:rsidR="00A2760E" w:rsidRPr="003A3FD8" w:rsidRDefault="00A2760E" w:rsidP="00C652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652C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2760E" w:rsidRPr="003A3FD8" w:rsidTr="00A2760E">
        <w:tc>
          <w:tcPr>
            <w:tcW w:w="709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6452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2244" w:type="dxa"/>
          </w:tcPr>
          <w:p w:rsidR="00A2760E" w:rsidRPr="003A3FD8" w:rsidRDefault="00A2760E" w:rsidP="00C652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652C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2760E" w:rsidRPr="003A3FD8" w:rsidTr="00A2760E">
        <w:tc>
          <w:tcPr>
            <w:tcW w:w="709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6452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2244" w:type="dxa"/>
          </w:tcPr>
          <w:p w:rsidR="00A2760E" w:rsidRPr="003A3FD8" w:rsidRDefault="00A2760E" w:rsidP="00C652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652C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2760E" w:rsidRPr="003A3FD8" w:rsidTr="00A2760E">
        <w:tc>
          <w:tcPr>
            <w:tcW w:w="709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6452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2244" w:type="dxa"/>
          </w:tcPr>
          <w:p w:rsidR="00A2760E" w:rsidRPr="003A3FD8" w:rsidRDefault="00A2760E" w:rsidP="00C652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652C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A2760E" w:rsidRPr="003A3FD8" w:rsidTr="00A2760E">
        <w:tc>
          <w:tcPr>
            <w:tcW w:w="709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2" w:type="dxa"/>
          </w:tcPr>
          <w:p w:rsidR="00A2760E" w:rsidRPr="003A3FD8" w:rsidRDefault="00A2760E" w:rsidP="00A276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2244" w:type="dxa"/>
          </w:tcPr>
          <w:p w:rsidR="00A2760E" w:rsidRPr="003A3FD8" w:rsidRDefault="00C652CB" w:rsidP="00A276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</w:p>
        </w:tc>
      </w:tr>
    </w:tbl>
    <w:p w:rsidR="00A2760E" w:rsidRPr="003A3FD8" w:rsidRDefault="00A2760E" w:rsidP="00A2760E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 та оцінювання знань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Загальне оцінювання здійснюється через вимірювання результатів навчання у формі п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po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жн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(модульного) та підсумкового контролю (екзамен, захист індивідуальної роботи тощо) відповідно до вимог зовнішньої та внутрішньої системи забезпечення якості вищої освіти. 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академічної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доброчесності</w:t>
      </w:r>
      <w:proofErr w:type="spellEnd"/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Тексти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 вони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формах)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можуть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перевіряют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плагіат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цілей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захисту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складати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менше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70%. Ви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нятки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випадки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публікацій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добувачів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матеріалах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збірниках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вже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пройшли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плагіат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опитувань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девайсів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фактів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боку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здобувача</w:t>
      </w: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він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отримує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повторного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додаткове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заняття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відвідування</w:t>
      </w:r>
      <w:proofErr w:type="spellEnd"/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Здобувач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пропустив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заняття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викладачу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надати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до деканату</w:t>
      </w:r>
      <w:proofErr w:type="gram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який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засвідчує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ці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причини.</w:t>
      </w: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об’єктивних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 (хвороба,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наукова та науково-практична конференція (круглий стіл)</w:t>
      </w: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тощо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відбуватись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он-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курсу.</w:t>
      </w: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ю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опонування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до виступу, рецензія на виступ; 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курсу,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винесена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лекційні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відпрацьовується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добувачами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наведеній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аудиторних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з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760E" w:rsidRPr="003A3FD8" w:rsidRDefault="00A2760E" w:rsidP="00A27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оцінюванні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добувача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підлягають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2760E" w:rsidRPr="003A3FD8" w:rsidRDefault="00A2760E" w:rsidP="00A276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  <w:t xml:space="preserve">характеристики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цілісність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повнота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логічність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обґрунтованість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правильність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A2760E" w:rsidRPr="003A3FD8" w:rsidRDefault="00A2760E" w:rsidP="00A276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засвоєння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фактичного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осмисленість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глибина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гнучкість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дієвість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системність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узагальненість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міцність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2760E" w:rsidRPr="003A3FD8" w:rsidRDefault="00A2760E" w:rsidP="00A276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сформованості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поєднувати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теорію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і практику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ситуацій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60E" w:rsidRPr="003A3FD8" w:rsidRDefault="00A2760E" w:rsidP="00A276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володіння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розумовими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операціями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аналізувати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синтезувати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порівнювати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абстрагувати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узагальнювати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робити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висновки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з проблем,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розглядаються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A2760E" w:rsidRPr="003A3FD8" w:rsidRDefault="00A2760E" w:rsidP="00A276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досвід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творчої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виявляти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розв’язувати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формувати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гіпотези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A2760E" w:rsidRPr="003A3FD8" w:rsidRDefault="00A2760E" w:rsidP="00A276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самостійна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робота: робота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навчально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-методичною,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науковою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допоміжною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вітчизняною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зарубіжною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літературою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розглядаються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отримувати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різноманітних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джерел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традиційних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спеціальних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періодичних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видань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ЗМІ,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Тестове</w:t>
      </w:r>
      <w:proofErr w:type="spellEnd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опитування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проводитись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за одним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кількома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змістовими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модулями. В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останньому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випадку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бали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нараховуються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добувачу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відповіді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тестові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питання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поділяються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між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змістовими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модулями.</w:t>
      </w: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Індивідуальне</w:t>
      </w:r>
      <w:proofErr w:type="spellEnd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підлягає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захисту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Здобувач</w:t>
      </w:r>
      <w:proofErr w:type="spellEnd"/>
      <w:r w:rsidR="00C652CB"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е</w:t>
      </w:r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м на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заняттях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призначаються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додатково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.</w:t>
      </w: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Індивідуальне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бути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виконане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різних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формах.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Зокрема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Здобувачи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можуть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зробити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його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вигляді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реферату. Реферат повинен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мати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обсяг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від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18 до 24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сторінок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А4 тексту (кегль 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Times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New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Roman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шрифт 14,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інтервал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1,5),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включати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план, структуру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основної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частини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тексту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відповідно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 плану</w:t>
      </w:r>
      <w:proofErr w:type="gram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висновки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і список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літератури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складений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відповідно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до ДСТУ 8302:2015. В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рефераті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можна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також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помістити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словник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базових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понять до </w:t>
      </w:r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 xml:space="preserve">теми.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Водночас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індивідуальне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бути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виконане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формах,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наприклад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у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вигляді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дидактичного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проєкту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, у формі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презентації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форматі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Power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Point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В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цьому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обсяг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роботи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визначається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індивідуально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залежно</w:t>
      </w:r>
      <w:proofErr w:type="spellEnd"/>
      <w:proofErr w:type="gram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від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теми.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Література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що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рекомендується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для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виконання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наведена у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цій робочій програмі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а в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електронному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вигляді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вона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розміщена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Освітньому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сайті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КНУБА, на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сторінці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кафедри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A2760E" w:rsidRPr="003A3FD8" w:rsidRDefault="00A2760E" w:rsidP="00A276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Також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як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виконання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рішенням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бути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зарахована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участь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добувача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міжнародній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всеукраїнській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науково-практичній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конференції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публікацією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матеріалах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конференції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тез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виступу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доповіді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) на одну з тем,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дотичних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до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змісту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дисципліни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публікація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статті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на одну з таких тем в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наукових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виданнях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A2760E" w:rsidRPr="003A3FD8" w:rsidRDefault="00A2760E" w:rsidP="00A276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Текст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подається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не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пізніше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ніж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за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2 тижні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 початку</w:t>
      </w:r>
      <w:proofErr w:type="gram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залікової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сесії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має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право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вимагати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від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здобувача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доопрацювання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якщо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воно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не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відповідає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встановленим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вимогам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контролю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заносяться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журналу</w:t>
      </w:r>
      <w:proofErr w:type="gram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Позитивна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невідпрацьованих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та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індивідуальну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є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підставою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допуску</w:t>
      </w:r>
      <w:proofErr w:type="gram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 Бали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аудиторну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відпрацьовуються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760E" w:rsidRPr="003A3FD8" w:rsidRDefault="00A2760E" w:rsidP="00A276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Підсумковий</w:t>
      </w:r>
      <w:proofErr w:type="spellEnd"/>
      <w:r w:rsidRPr="003A3F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контроль</w:t>
      </w:r>
      <w:r w:rsidR="00C652C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/>
        </w:rPr>
        <w:t>.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Семестров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залік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</w:t>
      </w:r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дисциплін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и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проводять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після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закінчення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ї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ї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вивчення</w:t>
      </w:r>
      <w:proofErr w:type="spellEnd"/>
      <w:r w:rsidR="00C652CB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до початку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екзаменаційної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сесії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семестрового контролю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здачі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усіх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видів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згідно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структурою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за 100-бальною шкалою.</w:t>
      </w:r>
    </w:p>
    <w:p w:rsidR="00A2760E" w:rsidRPr="003A3FD8" w:rsidRDefault="00A2760E" w:rsidP="00A2760E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Розподіл балів для дисципліни з формою контролю екзамен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854"/>
        <w:gridCol w:w="1863"/>
      </w:tblGrid>
      <w:tr w:rsidR="00A2760E" w:rsidRPr="003A3FD8" w:rsidTr="00A2760E">
        <w:trPr>
          <w:cantSplit/>
          <w:trHeight w:val="817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0E" w:rsidRPr="003A3FD8" w:rsidRDefault="00A2760E" w:rsidP="00A27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Поточне оцінювання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60E" w:rsidRPr="003A3FD8" w:rsidRDefault="00A2760E" w:rsidP="00A27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Підсумкове тестування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0E" w:rsidRPr="003A3FD8" w:rsidRDefault="00A2760E" w:rsidP="00A27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Сума</w:t>
            </w:r>
          </w:p>
          <w:p w:rsidR="00A2760E" w:rsidRPr="003A3FD8" w:rsidRDefault="00A2760E" w:rsidP="00A27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балів</w:t>
            </w:r>
          </w:p>
        </w:tc>
      </w:tr>
      <w:tr w:rsidR="00A2760E" w:rsidRPr="003A3FD8" w:rsidTr="00A2760E">
        <w:trPr>
          <w:cantSplit/>
          <w:trHeight w:val="646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60E" w:rsidRPr="003A3FD8" w:rsidRDefault="00A2760E" w:rsidP="00A27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70</w:t>
            </w: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60E" w:rsidRPr="003A3FD8" w:rsidRDefault="00A2760E" w:rsidP="00A27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60E" w:rsidRPr="003A3FD8" w:rsidRDefault="00A2760E" w:rsidP="00A27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</w:tr>
    </w:tbl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Шкала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74"/>
        <w:gridCol w:w="5791"/>
      </w:tblGrid>
      <w:tr w:rsidR="00A2760E" w:rsidRPr="003A3FD8" w:rsidTr="00A2760E">
        <w:trPr>
          <w:jc w:val="center"/>
        </w:trPr>
        <w:tc>
          <w:tcPr>
            <w:tcW w:w="2376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балів</w:t>
            </w:r>
          </w:p>
        </w:tc>
        <w:tc>
          <w:tcPr>
            <w:tcW w:w="5791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Критерії</w:t>
            </w:r>
          </w:p>
        </w:tc>
      </w:tr>
      <w:tr w:rsidR="00A2760E" w:rsidRPr="003A3FD8" w:rsidTr="00A2760E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474" w:type="dxa"/>
            <w:vAlign w:val="center"/>
          </w:tcPr>
          <w:p w:rsidR="00A2760E" w:rsidRPr="003A3FD8" w:rsidRDefault="00A2760E" w:rsidP="00A2760E">
            <w:pPr>
              <w:widowControl w:val="0"/>
              <w:tabs>
                <w:tab w:val="center" w:pos="791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791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2760E" w:rsidRPr="005E76E6" w:rsidTr="00A2760E">
        <w:trPr>
          <w:trHeight w:val="345"/>
          <w:jc w:val="center"/>
        </w:trPr>
        <w:tc>
          <w:tcPr>
            <w:tcW w:w="2376" w:type="dxa"/>
            <w:vMerge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791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джерел (більшість з яких не старше 2017 року),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2760E" w:rsidRPr="003A3FD8" w:rsidTr="00A2760E">
        <w:trPr>
          <w:jc w:val="center"/>
        </w:trPr>
        <w:tc>
          <w:tcPr>
            <w:tcW w:w="2376" w:type="dxa"/>
            <w:vMerge w:val="restart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добре</w:t>
            </w:r>
          </w:p>
        </w:tc>
        <w:tc>
          <w:tcPr>
            <w:tcW w:w="1474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791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2760E" w:rsidRPr="003A3FD8" w:rsidTr="00A2760E">
        <w:trPr>
          <w:jc w:val="center"/>
        </w:trPr>
        <w:tc>
          <w:tcPr>
            <w:tcW w:w="2376" w:type="dxa"/>
            <w:vMerge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791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2760E" w:rsidRPr="003A3FD8" w:rsidTr="00A2760E">
        <w:trPr>
          <w:jc w:val="center"/>
        </w:trPr>
        <w:tc>
          <w:tcPr>
            <w:tcW w:w="2376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74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791" w:type="dxa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Шкала </w:t>
      </w:r>
      <w:proofErr w:type="spellStart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національна</w:t>
      </w:r>
      <w:proofErr w:type="spellEnd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та ECTS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683"/>
        <w:gridCol w:w="3260"/>
        <w:gridCol w:w="27"/>
      </w:tblGrid>
      <w:tr w:rsidR="00A2760E" w:rsidRPr="003A3FD8" w:rsidTr="00A2760E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національною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шкалою</w:t>
            </w:r>
          </w:p>
        </w:tc>
      </w:tr>
      <w:tr w:rsidR="00A2760E" w:rsidRPr="003A3FD8" w:rsidTr="00A2760E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 – 100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</w:p>
        </w:tc>
      </w:tr>
      <w:tr w:rsidR="00A2760E" w:rsidRPr="003A3FD8" w:rsidTr="00A2760E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60E" w:rsidRPr="003A3FD8" w:rsidTr="00A2760E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60E" w:rsidRPr="003A3FD8" w:rsidTr="00A2760E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60E" w:rsidRPr="003A3FD8" w:rsidTr="00A2760E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60E" w:rsidRPr="003A3FD8" w:rsidTr="00A2760E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можливістю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повторного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</w:p>
        </w:tc>
      </w:tr>
      <w:tr w:rsidR="00A2760E" w:rsidRPr="003A3FD8" w:rsidTr="00A2760E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0-34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A2760E" w:rsidRPr="003A3FD8" w:rsidRDefault="00A2760E" w:rsidP="00A2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обов’язковим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повторним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вивченням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</w:tbl>
    <w:p w:rsidR="00A2760E" w:rsidRPr="003A3FD8" w:rsidRDefault="00A2760E" w:rsidP="00A2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Умови</w:t>
      </w:r>
      <w:proofErr w:type="spellEnd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допуску до </w:t>
      </w:r>
      <w:proofErr w:type="spellStart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підсумкового</w:t>
      </w:r>
      <w:proofErr w:type="spellEnd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контролю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заліку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студентом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поточного контролю (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поточного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опитування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семінарських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лабораторних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семестру.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передбач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ає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обов’язков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присутн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Умовою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допуску студента до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заліку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мінімальна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сума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набрати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модулів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Студент,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отримав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семестру 60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більше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звільненим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семестрового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Студенту,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підсумкову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дисципліну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35 до 59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Студент,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здав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захистив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індивідуальне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робочої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змістов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их модулях,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підсумкового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контролю. В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визначене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додаткове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змістових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модулів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760E" w:rsidRPr="003A3FD8" w:rsidRDefault="00A2760E" w:rsidP="00A2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опротестування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(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апеляцію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). Правила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апеляції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внутрішніми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 КНУБА,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КНУБА та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на початку</w:t>
      </w:r>
      <w:proofErr w:type="gram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760E" w:rsidRPr="003A3FD8" w:rsidRDefault="00A2760E" w:rsidP="00A2760E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Методичне забезпечення дисципліни</w:t>
      </w: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Підручники та посібники:</w:t>
      </w: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A2760E" w:rsidRPr="003A3FD8" w:rsidRDefault="00A2760E" w:rsidP="00A2760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Правознавство: [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підруч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відп. ред. О.В.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Дзера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12-е вид., перероб. і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допов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 : Юрінком Інтер, 2019. – 632 с. 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760E" w:rsidRPr="003A3FD8" w:rsidRDefault="00A2760E" w:rsidP="00A2760E">
      <w:pPr>
        <w:widowControl w:val="0"/>
        <w:numPr>
          <w:ilvl w:val="0"/>
          <w:numId w:val="1"/>
        </w:numPr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 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Погорілко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В.Ф.,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Шпиталенко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Г.А. Правознавство: Підручник. 6-тє вид.,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випр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. і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доп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 - К.: Каравела, 2020.-602 с.</w:t>
      </w:r>
    </w:p>
    <w:p w:rsidR="00A2760E" w:rsidRPr="003A3FD8" w:rsidRDefault="00A2760E" w:rsidP="00A2760E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Правознавство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навчальний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посібник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за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ред.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С.В.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Пєткова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–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Дніпро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Університет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імені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Альфреда Нобеля,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2020. – 360 с.</w:t>
      </w:r>
    </w:p>
    <w:p w:rsidR="00A2760E" w:rsidRPr="003A3FD8" w:rsidRDefault="00A2760E" w:rsidP="00A2760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Тополевський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Б., Федіна Н. В. Теорія держави і права: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Львів: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ЛьвДУВС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2020. - 268 с.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2760E" w:rsidRPr="003A3FD8" w:rsidRDefault="00A2760E" w:rsidP="00A2760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Конституційне право: підручник / за загальною редакцією М.І.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Козюбри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./ Ю.Г. Барабаш, О.М. Бориславська, В.М.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Венгер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М.І.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Козюбра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А.А.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Мелешевич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- К.: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Ваіте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2021. – 528 с.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3FD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2760E" w:rsidRPr="003A3FD8" w:rsidRDefault="00A2760E" w:rsidP="00A2760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Адміністративне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Повний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</w:rPr>
        <w:t>курс :</w:t>
      </w:r>
      <w:proofErr w:type="gram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Галунько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В.,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Діхтієвський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П., Кузьменко О., Стеценко С.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</w:rPr>
        <w:t>Херсон :</w:t>
      </w:r>
      <w:proofErr w:type="gram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ОЛДІ-ПЛЮС, 2018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446 с.</w:t>
      </w:r>
    </w:p>
    <w:p w:rsidR="00A2760E" w:rsidRPr="003A3FD8" w:rsidRDefault="00A2760E" w:rsidP="00A2760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Парасюк М.В., Парасюк В.М., Грабар Н.М. 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Цивільне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схемах</w:t>
      </w:r>
      <w:proofErr w:type="gram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таблицях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Растр-7, 2020. 364 с.</w:t>
      </w:r>
    </w:p>
    <w:p w:rsidR="00A2760E" w:rsidRPr="003A3FD8" w:rsidRDefault="00A2760E" w:rsidP="00A2760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Цивільне право України 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2 т. / Ю. Ф. Іванов, О. В.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Куриліна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 В. Іванова – 2-ге вид.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доповн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переробл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Т. 1. – К.: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Алерта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, 2019. – 342 с.</w:t>
      </w:r>
    </w:p>
    <w:p w:rsidR="00A2760E" w:rsidRPr="003A3FD8" w:rsidRDefault="00A2760E" w:rsidP="00A2760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Процьків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Н.М.,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Гетьманцева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Н.Д. Сімейне право:  навчально-методичний посібник. Чернівці: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Чернівец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.. ун-т ім.. Ю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Федьковича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2021- 148 с.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cr/>
      </w:r>
      <w:r w:rsidRPr="003A3F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Трудове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підручник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 ред. проф. О. М. Ярошенко).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Харків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Вид-во 2022. – 376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с.  </w:t>
      </w:r>
    </w:p>
    <w:p w:rsidR="00A2760E" w:rsidRPr="003A3FD8" w:rsidRDefault="00A2760E" w:rsidP="00A2760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Трудове право України : підручник / МВС України, Харків.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ун-т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внутр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справ; [С. М. Бортник, К. Ю. Мельник, Л.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Могілевський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ін.]. – Харків, 2019. – 408 с.</w:t>
      </w:r>
    </w:p>
    <w:p w:rsidR="00A2760E" w:rsidRPr="003A3FD8" w:rsidRDefault="00A2760E" w:rsidP="00A2760E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Тернавська В.М. Трудове право України :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посібник / В.М. Тернавська. – Київ : КНУБА, 2019. – 180 с. URL : </w:t>
      </w:r>
      <w:hyperlink r:id="rId8" w:history="1">
        <w:r w:rsidRPr="003A3F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http://library.knuba.edu.ua/books/9_1_19.pdf</w:t>
        </w:r>
      </w:hyperlink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13. Кримінальне право України. Загальна частина : підручник /підготовлено колективом авторів;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В. Я.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Конопельського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О.Меркулової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Одеса, ОДУВС, 2021- 452 с.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A2760E" w:rsidRPr="003A3FD8" w:rsidTr="00A2760E">
        <w:trPr>
          <w:trHeight w:val="107"/>
        </w:trPr>
        <w:tc>
          <w:tcPr>
            <w:tcW w:w="0" w:type="auto"/>
          </w:tcPr>
          <w:p w:rsidR="00A2760E" w:rsidRPr="003A3FD8" w:rsidRDefault="00A2760E" w:rsidP="00A2760E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A3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Додаткові джерела: </w:t>
            </w:r>
          </w:p>
          <w:p w:rsidR="00A2760E" w:rsidRPr="003A3FD8" w:rsidRDefault="00A2760E" w:rsidP="00A2760E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A3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1.Тертишник В.М. Конституція України. Науково-практичний коментар. Київ: </w:t>
            </w:r>
            <w:proofErr w:type="spellStart"/>
            <w:r w:rsidRPr="003A3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Алерта</w:t>
            </w:r>
            <w:proofErr w:type="spellEnd"/>
            <w:r w:rsidRPr="003A3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2022. 430 с.</w:t>
            </w:r>
          </w:p>
        </w:tc>
      </w:tr>
    </w:tbl>
    <w:p w:rsidR="00A2760E" w:rsidRPr="003A3FD8" w:rsidRDefault="00A2760E" w:rsidP="00A2760E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Науково-практичний коментар Цивільного кодексу України [Текст] : у 2 т. /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О.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Дзери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Н. С.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Кузнєцової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Луця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[наук. ред. М. М. Хоменко]. - Київ : Юрінком Інтер, 2019 - 1800 с.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Науково-практичний коментар Кодексу законів про працю України. Станом на 20 травня 2020 року.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Іншина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М.І. – Київ : Видавничий дім «Професіонал», 2020. – 344 с.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Науково-практичний коментар Кодексу України про адміністративні правопорушення/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С.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Пєткова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Київ: Юрінком Інтер,  2020. 792 с.  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Нормативні  акти:</w:t>
      </w: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2. Декларація про державний суверенітет України від 16.07.1990 № 55-12 // Відомості Верховної Ради УРСР. – 1990. – № 31. – Ст. 429.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3. Про громадянство України. Закон України від 18.01.2001 № 2235-ІІІ // Відомості Верховної Ради України. – 2001. – № 13. – Ст. 65.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7. Про громадські об'єднання. Закон України від 22.03.2012 № 4572-VI // Відомості Верховної Ради України. – 2013. – № 1. – Ст. 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8. Про політичні партії в Україні. Закон України від 05.04.2001 № 2365-ІІІ // Відомості Верховної Ради України. – 2001. – № 23. – Ст. 118.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10. Про охорону навколишнього природного середовища. Закон України від </w:t>
      </w: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25.06.1991 № 1264-ХІІ // Відомості Верховної Ради УРСР. – 1991. – № 41. – Ст. 546.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11.  Про Уповноваженого Верховної Ради України з прав людини. Закон України від 23.12.1997 № 776/97-ВР // Відомості Верховної Ради України. – 1998. – № 20. – Ст. 99.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12.   Про Положення про Адміністрацію Президента України. Указ Президента України від 02.04.2010 № 504/2010 // Офіційний вісник України. – 2010. – № 25.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14. Про Кабінет Міністрів України. Закон України від 27.02.2014 № 794-VІI // Відомості Верховної Ради України. – 2014. – № 13. – Ст. 222. 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15. Про центральні органи виконавчої влади. Закон України від 17.03.2011 № 3166-VI // Відомості Верховної Ради України. – 2011. – № 38. – Ст. 385.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16. Про систему центральних органів виконавчої влади. Указ Президента України від 15.12.1999 № 1572/99 // Офіційний вісник України. – 1999. – № 50.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17. Про державну службу. Закон України від 10.12.2015 № 889-VІІI // Відомості Верховної Ради України. – 2016. – № 4. – Ст. 43.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18. Про очищення влади. Закон України від 16.09.2014 № 1682-VІІ // Відомості Верховної Ради України. – 2014. – № 44. – Ст. 2041.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19. Про судоустрій і статус суддів. Закон України від 02.06.2016 № 1402-VIII // Відомості Верховної Ради України. – 2016. – № 31. – Ст. 545.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20. Про Конституційний Суд України. Закон України від 13.07.2017 № 2136-VIII // Відомості Верховної Ради України. – 2017. – № 35. – Ст. 376.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21. Про місцеве самоврядування в Україні. Закон України від 21.05.1997 № 280/97-ВР // Відомості Верховної Ради України. – 1997. – № 24. – Ст. 170.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22. Про Національний банк України. Закон України від 20.05.1999 № 679-XIV // Відомості Верховної Ради України. – 1999. – № 29. – Ст. 238.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23. Про прокуратуру. Закон України від 14.10.2014 № 1697-VІІ // Відомості Верховної Ради України. – 2015. – № 2-3. – Ст. 12.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24. Про адвокатуру та адвокатську діяльність. Закон України від 05.07.2012 № 5076-VI // Відомості Верховної Ради України. – 2013. – № 27. – Ст. 282.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25. Про нотаріат. Закон України від 02.09.1993 № 3425-ХІІ // Відомості Верховної Ради України. – 1993. – № 39. – Ст. 383.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Виборчий кодекс України  від 19.12.2019 № 396-IX // Відомості Верховної Ради України .- 2020 - № 7,   № 8, № 9 .  - ст. 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26. Кодекс України про адміністративні правопорушення від 07.12.1984 № 8073-X // Відомості Верховної Ради УРСР. – 1984. – № 51. – Ст. 1122.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27. Цивільний кодекс України від 16.01.2003 № 435-IV // Відомості Верховної Ради України. – 2003. – № 40–44. – Ст. 356.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28. Господарський кодекс України від 16.01.2003 № 436-IV // Відомості Верховної Ради України. – 2003. – № 18, № 19-20, № 21-22. – Ст. 144.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29. Про регулювання містобудівної діяльності. Закон України від 17.02.2011 № 3038-VІ // Відомості Верховної Ради України. – 2011. – № 34. – Ст. 343.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30. Про архітектурну діяльність. Закон України від 20.05.1999 № 687-XIV // Відомості Верховної Ради України. – 1999. – № 31. – Ст. 246.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31. Про будівельні норми. Закон України від 05.11.2009 № 1704-VІ // Відомості Верховної Ради України. – 2010. – № 5. – Ст. 41.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32. Про туризм. Закон України від 15.09.1995 № 324/95-ВР // Відомості Верховної Ради України. – 1995. – № 31. – Ст. 241.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34. Сімейний кодекс України від 10.01.2002 № 2947-III // Відомості Верховної Ради України. – 2002. – № 21 – 22. – Ст. 135.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35. Кодекс законів про працю України від 10.12.1971 № 322-VIII // Відомості Верховної Ради УРСР. – 1971. – № 50 – Ст. 375.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36. Про оплату праці. Закон України від 24.03.1995 № 108/95-ВР // Відомості Верховної Ради України. – 1995. – № 17. – Ст. 121.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37. Про відпустки. Закон України від 15.11.1996 № 504/96-ВР // Відомості Верховної Ради України. – 1997. – № 2. – Ст. 5.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38. Кримінальний кодекс України від 05.04.2001 № 2341-III // Відомості Верховної Ради України. – 2001. – № 25 – 26. – Ст. 131.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39. Про запобігання корупції. Закон України від 14.10.2014 р. № 1700-VII // Відомості Верховної Ради України – 2014. – № 49. – Ст. 2056.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40. Про національну поліцію. Закон України від 25.12.1990 № 565-ХІІ // Відомості Верховної Ради України. – 2015. – № 40-41. – Ст. 379.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41. Про Службу безпеки України. Закон України від 25.03.1992 № 2229-ХІІ // Відомості Верховної Ради України. – 1992. – № 27. – Ст. 382.</w:t>
      </w:r>
    </w:p>
    <w:p w:rsidR="00A2760E" w:rsidRPr="003A3FD8" w:rsidRDefault="00A2760E" w:rsidP="00A2760E">
      <w:pPr>
        <w:widowControl w:val="0"/>
        <w:tabs>
          <w:tab w:val="left" w:pos="0"/>
          <w:tab w:val="left" w:pos="284"/>
          <w:tab w:val="left" w:pos="351"/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Методичні роботи:</w:t>
      </w:r>
    </w:p>
    <w:p w:rsidR="00A2760E" w:rsidRPr="003A3FD8" w:rsidRDefault="00A2760E" w:rsidP="00A2760E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1.Правознавство: Методичні рекомендації до практичних занять – 2-е вид.,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переробл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і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допов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 / уклад.: В.М. Тернавська – Київ: КНУБА,  2018. – 21 с.</w:t>
      </w:r>
    </w:p>
    <w:p w:rsidR="00A2760E" w:rsidRPr="003A3FD8" w:rsidRDefault="00A2760E" w:rsidP="00A2760E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A2760E" w:rsidRPr="003A3FD8" w:rsidRDefault="00A2760E" w:rsidP="00A2760E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Інформаційні ресурси</w:t>
      </w:r>
    </w:p>
    <w:p w:rsidR="00A2760E" w:rsidRPr="003A3FD8" w:rsidRDefault="00A2760E" w:rsidP="00A2760E">
      <w:pPr>
        <w:widowControl w:val="0"/>
        <w:shd w:val="clear" w:color="auto" w:fill="FFFFFF"/>
        <w:tabs>
          <w:tab w:val="left" w:pos="351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Національна бібліотека імені В.І. Вернадського: </w:t>
      </w:r>
      <w:hyperlink r:id="rId9" w:history="1">
        <w:r w:rsidRPr="003A3F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http://www.nbuv.gov.ua/</w:t>
        </w:r>
      </w:hyperlink>
    </w:p>
    <w:p w:rsidR="00A2760E" w:rsidRPr="003A3FD8" w:rsidRDefault="00A2760E" w:rsidP="00A2760E">
      <w:pPr>
        <w:tabs>
          <w:tab w:val="left" w:pos="351"/>
        </w:tabs>
        <w:spacing w:after="0" w:line="288" w:lineRule="auto"/>
        <w:ind w:right="72"/>
        <w:contextualSpacing/>
        <w:rPr>
          <w:rFonts w:ascii="Times New Roman" w:eastAsia="MS ??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КНУБА:</w:t>
      </w: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t xml:space="preserve"> </w:t>
      </w:r>
      <w:hyperlink w:history="1">
        <w:r w:rsidRPr="003A3FD8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http://library.knuba.edu.ua </w:t>
        </w:r>
      </w:hyperlink>
    </w:p>
    <w:p w:rsidR="00A2760E" w:rsidRPr="003A3FD8" w:rsidRDefault="00A2760E" w:rsidP="00A2760E">
      <w:pPr>
        <w:tabs>
          <w:tab w:val="left" w:pos="351"/>
        </w:tabs>
        <w:spacing w:after="0" w:line="288" w:lineRule="auto"/>
        <w:ind w:right="72"/>
        <w:contextualSpacing/>
        <w:jc w:val="both"/>
        <w:rPr>
          <w:rFonts w:ascii="Times New Roman" w:eastAsia="MS ??" w:hAnsi="Times New Roman" w:cs="Times New Roman"/>
          <w:color w:val="0000FF"/>
          <w:sz w:val="28"/>
          <w:szCs w:val="28"/>
          <w:u w:val="single"/>
          <w:lang w:val="uk-UA" w:eastAsia="ru-RU"/>
        </w:rPr>
      </w:pP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t>3.</w:t>
      </w:r>
      <w:proofErr w:type="spellStart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веб</w:t>
      </w: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t>-</w:t>
      </w:r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портал </w:t>
      </w: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t>Верховної Ради</w:t>
      </w:r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3A3FD8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https://zakon.rada.gov.ua/laws/main/groups</w:t>
        </w:r>
      </w:hyperlink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A2760E" w:rsidRPr="003A3FD8" w:rsidRDefault="00A2760E" w:rsidP="00A27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</w:t>
      </w:r>
    </w:p>
    <w:p w:rsidR="00A2760E" w:rsidRPr="003A3FD8" w:rsidRDefault="00A2760E" w:rsidP="00A2760E">
      <w:pPr>
        <w:rPr>
          <w:sz w:val="28"/>
          <w:szCs w:val="28"/>
          <w:lang w:val="uk-UA"/>
        </w:rPr>
      </w:pPr>
    </w:p>
    <w:p w:rsidR="00A2760E" w:rsidRPr="003A3FD8" w:rsidRDefault="00A2760E" w:rsidP="00A2760E"/>
    <w:p w:rsidR="00A2760E" w:rsidRDefault="00A2760E" w:rsidP="00A2760E"/>
    <w:p w:rsidR="00803586" w:rsidRDefault="00803586"/>
    <w:sectPr w:rsidR="0080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47" w:rsidRDefault="00425B56">
      <w:pPr>
        <w:spacing w:after="0" w:line="240" w:lineRule="auto"/>
      </w:pPr>
      <w:r>
        <w:separator/>
      </w:r>
    </w:p>
  </w:endnote>
  <w:endnote w:type="continuationSeparator" w:id="0">
    <w:p w:rsidR="00C96547" w:rsidRDefault="0042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0E" w:rsidRPr="00BA7F59" w:rsidRDefault="00A2760E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5E76E6">
      <w:rPr>
        <w:rFonts w:ascii="Times New Roman" w:hAnsi="Times New Roman"/>
        <w:noProof/>
      </w:rPr>
      <w:t>15</w:t>
    </w:r>
    <w:r w:rsidRPr="0065508B">
      <w:rPr>
        <w:rFonts w:ascii="Times New Roman" w:hAnsi="Times New Roman"/>
      </w:rPr>
      <w:fldChar w:fldCharType="end"/>
    </w:r>
  </w:p>
  <w:p w:rsidR="00A2760E" w:rsidRDefault="00A276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47" w:rsidRDefault="00425B56">
      <w:pPr>
        <w:spacing w:after="0" w:line="240" w:lineRule="auto"/>
      </w:pPr>
      <w:r>
        <w:separator/>
      </w:r>
    </w:p>
  </w:footnote>
  <w:footnote w:type="continuationSeparator" w:id="0">
    <w:p w:rsidR="00C96547" w:rsidRDefault="0042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0E"/>
    <w:rsid w:val="00114BA1"/>
    <w:rsid w:val="003E7047"/>
    <w:rsid w:val="00425B56"/>
    <w:rsid w:val="005E76E6"/>
    <w:rsid w:val="00803586"/>
    <w:rsid w:val="00A2760E"/>
    <w:rsid w:val="00C652CB"/>
    <w:rsid w:val="00C96547"/>
    <w:rsid w:val="00F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1E30"/>
  <w15:chartTrackingRefBased/>
  <w15:docId w15:val="{E9171034-FBD8-49F0-85B3-D46453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760E"/>
  </w:style>
  <w:style w:type="table" w:styleId="a5">
    <w:name w:val="Table Grid"/>
    <w:basedOn w:val="a1"/>
    <w:uiPriority w:val="59"/>
    <w:rsid w:val="00A2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books/9_1_19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main/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Lawyer</cp:lastModifiedBy>
  <cp:revision>5</cp:revision>
  <cp:lastPrinted>2023-02-14T07:04:00Z</cp:lastPrinted>
  <dcterms:created xsi:type="dcterms:W3CDTF">2023-02-08T08:56:00Z</dcterms:created>
  <dcterms:modified xsi:type="dcterms:W3CDTF">2023-02-14T07:05:00Z</dcterms:modified>
</cp:coreProperties>
</file>