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6F" w:rsidRPr="00E2676F" w:rsidRDefault="00E2676F" w:rsidP="00E2676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E2676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F5FAD7" wp14:editId="52A4C7C5">
            <wp:simplePos x="0" y="0"/>
            <wp:positionH relativeFrom="column">
              <wp:posOffset>4295775</wp:posOffset>
            </wp:positionH>
            <wp:positionV relativeFrom="paragraph">
              <wp:posOffset>118745</wp:posOffset>
            </wp:positionV>
            <wp:extent cx="140970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08" y="21401"/>
                <wp:lineTo x="2130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8" t="57004" r="6143" b="26459"/>
                    <a:stretch/>
                  </pic:blipFill>
                  <pic:spPr bwMode="auto">
                    <a:xfrm>
                      <a:off x="0" y="0"/>
                      <a:ext cx="140970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76F" w:rsidRPr="006A01EA" w:rsidRDefault="00E2676F" w:rsidP="00E26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01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«Затверджую» </w:t>
      </w:r>
    </w:p>
    <w:p w:rsidR="00E2676F" w:rsidRPr="006A01EA" w:rsidRDefault="00E2676F" w:rsidP="00E26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676F" w:rsidRPr="006A01EA" w:rsidRDefault="00E2676F" w:rsidP="00E2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1EA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 Ткаченко Т.М./_________/ </w:t>
      </w:r>
    </w:p>
    <w:p w:rsidR="00E2676F" w:rsidRPr="006A01EA" w:rsidRDefault="003E7D91" w:rsidP="00E2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«29</w:t>
      </w:r>
      <w:r w:rsidR="00C26D97">
        <w:rPr>
          <w:rFonts w:ascii="Times New Roman" w:hAnsi="Times New Roman" w:cs="Times New Roman"/>
          <w:sz w:val="24"/>
          <w:szCs w:val="24"/>
          <w:lang w:val="uk-UA"/>
        </w:rPr>
        <w:t xml:space="preserve">» червня </w:t>
      </w:r>
      <w:r w:rsidR="00E2676F" w:rsidRPr="006A01EA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26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676F" w:rsidRPr="006A01EA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E2676F" w:rsidRPr="006A01EA" w:rsidRDefault="00E2676F" w:rsidP="00E2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676F" w:rsidRPr="006A01EA" w:rsidRDefault="00E2676F" w:rsidP="00E2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1EA">
        <w:rPr>
          <w:rFonts w:ascii="Times New Roman" w:hAnsi="Times New Roman" w:cs="Times New Roman"/>
          <w:sz w:val="24"/>
          <w:szCs w:val="24"/>
          <w:lang w:val="uk-UA"/>
        </w:rPr>
        <w:t xml:space="preserve">Розробник </w:t>
      </w:r>
      <w:proofErr w:type="spellStart"/>
      <w:r w:rsidRPr="006A01EA"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</w:p>
    <w:p w:rsidR="00E2676F" w:rsidRPr="006A01EA" w:rsidRDefault="00E2676F" w:rsidP="00E2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01EA">
        <w:rPr>
          <w:rFonts w:ascii="Times New Roman" w:hAnsi="Times New Roman" w:cs="Times New Roman"/>
          <w:sz w:val="24"/>
          <w:szCs w:val="24"/>
          <w:u w:val="single"/>
          <w:lang w:val="uk-UA"/>
        </w:rPr>
        <w:t>Ст.викладач</w:t>
      </w:r>
      <w:proofErr w:type="spellEnd"/>
      <w:r w:rsidRPr="006A01E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Петренко Д.В.</w:t>
      </w:r>
      <w:r w:rsidRPr="006A01EA">
        <w:rPr>
          <w:rFonts w:ascii="Times New Roman" w:hAnsi="Times New Roman" w:cs="Times New Roman"/>
          <w:sz w:val="24"/>
          <w:szCs w:val="24"/>
          <w:lang w:val="uk-UA"/>
        </w:rPr>
        <w:t xml:space="preserve"> /_________/</w:t>
      </w:r>
    </w:p>
    <w:p w:rsidR="00E2676F" w:rsidRPr="006A01EA" w:rsidRDefault="00E2676F" w:rsidP="00E26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676F" w:rsidRPr="00E2676F" w:rsidRDefault="00E2676F" w:rsidP="00E2676F">
      <w:pPr>
        <w:spacing w:after="0" w:line="240" w:lineRule="auto"/>
        <w:rPr>
          <w:b/>
          <w:sz w:val="24"/>
          <w:szCs w:val="24"/>
          <w:lang w:val="uk-UA"/>
        </w:rPr>
      </w:pPr>
    </w:p>
    <w:p w:rsidR="00E2676F" w:rsidRPr="00E2676F" w:rsidRDefault="003E4812" w:rsidP="003E4812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</w:t>
      </w:r>
      <w:r w:rsidR="00E2676F" w:rsidRPr="00E2676F">
        <w:rPr>
          <w:b/>
          <w:sz w:val="32"/>
          <w:szCs w:val="32"/>
          <w:lang w:val="uk-UA"/>
        </w:rPr>
        <w:t>СИЛАБУС</w:t>
      </w:r>
    </w:p>
    <w:p w:rsidR="00E2676F" w:rsidRDefault="003E4812" w:rsidP="003E4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ПРАВОЗНАВСТВО</w:t>
      </w:r>
    </w:p>
    <w:p w:rsidR="007B1D9E" w:rsidRPr="00B7675D" w:rsidRDefault="007B1D9E" w:rsidP="00E2676F">
      <w:pPr>
        <w:spacing w:after="0"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2676F" w:rsidRPr="00B7675D" w:rsidTr="00BE3753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3E4812" w:rsidRDefault="00E2676F" w:rsidP="005C7EB5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за ОПП:  </w:t>
            </w:r>
            <w:r w:rsidR="00D80D62" w:rsidRPr="003E48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812" w:rsidRPr="003E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C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0D62" w:rsidRPr="003E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2676F" w:rsidRPr="00B7675D" w:rsidTr="00BE3753">
        <w:trPr>
          <w:cantSplit/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E2676F" w:rsidP="00E04C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Навчальний рік:</w:t>
            </w: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E04CEF"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E04CEF"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2676F" w:rsidRPr="00B7675D" w:rsidTr="00BE3753">
        <w:trPr>
          <w:cantSplit/>
          <w:trHeight w:val="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E2676F" w:rsidP="00E2676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перший рівень вищої освіти (бакалавр)</w:t>
            </w:r>
          </w:p>
        </w:tc>
      </w:tr>
      <w:tr w:rsidR="00E2676F" w:rsidRPr="00B7675D" w:rsidTr="00BE3753">
        <w:trPr>
          <w:cantSplit/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E2676F" w:rsidP="00E2676F">
            <w:pPr>
              <w:spacing w:before="40" w:after="40"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Форма навчання:</w:t>
            </w: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денна, заочна, дуальна, дистанційна, змішана</w:t>
            </w:r>
          </w:p>
        </w:tc>
      </w:tr>
      <w:tr w:rsidR="00E2676F" w:rsidRPr="00B7675D" w:rsidTr="00BE3753">
        <w:trPr>
          <w:cantSplit/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E2676F" w:rsidP="003E4812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Галузь знань</w:t>
            </w:r>
            <w:r w:rsidRPr="00B7675D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: </w:t>
            </w:r>
            <w:r w:rsidR="007B1D9E" w:rsidRPr="00B7675D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</w:t>
            </w:r>
            <w:r w:rsidR="003E4812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4</w:t>
            </w:r>
            <w:r w:rsidR="007B1D9E" w:rsidRPr="00B7675D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="003E4812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Електрична інженерія</w:t>
            </w:r>
          </w:p>
        </w:tc>
      </w:tr>
      <w:tr w:rsidR="00E2676F" w:rsidRPr="003E4812" w:rsidTr="00BE3753">
        <w:trPr>
          <w:cantSplit/>
          <w:trHeight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E2676F" w:rsidP="00E2676F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Спеціальність, назва освітньої програми: </w:t>
            </w:r>
          </w:p>
          <w:p w:rsidR="005C7EB5" w:rsidRDefault="003E4812" w:rsidP="005C7EB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«Електроенергетика, електротехніка та</w:t>
            </w:r>
            <w:r w:rsidR="005C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електромеханіка»</w:t>
            </w:r>
            <w:r w:rsidR="007B1D9E"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E2676F" w:rsidRPr="00B7675D" w:rsidRDefault="00E04CEF" w:rsidP="005C7EB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ОПП «</w:t>
            </w:r>
            <w:proofErr w:type="spellStart"/>
            <w:r w:rsidR="005C7EB5" w:rsidRPr="005C7EB5">
              <w:rPr>
                <w:rFonts w:ascii="Times New Roman" w:hAnsi="Times New Roman" w:cs="Times New Roman"/>
                <w:sz w:val="24"/>
                <w:szCs w:val="24"/>
              </w:rPr>
              <w:t>Електромеханічні</w:t>
            </w:r>
            <w:proofErr w:type="spellEnd"/>
            <w:r w:rsidR="005C7EB5" w:rsidRPr="005C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EB5" w:rsidRPr="005C7EB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5C7EB5" w:rsidRPr="005C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EB5" w:rsidRPr="005C7EB5">
              <w:rPr>
                <w:rFonts w:ascii="Times New Roman" w:hAnsi="Times New Roman" w:cs="Times New Roman"/>
                <w:sz w:val="24"/>
                <w:szCs w:val="24"/>
              </w:rPr>
              <w:t>автоматизації</w:t>
            </w:r>
            <w:proofErr w:type="spellEnd"/>
            <w:r w:rsidR="005C7EB5" w:rsidRPr="005C7E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C7EB5" w:rsidRPr="005C7EB5">
              <w:rPr>
                <w:rFonts w:ascii="Times New Roman" w:hAnsi="Times New Roman" w:cs="Times New Roman"/>
                <w:sz w:val="24"/>
                <w:szCs w:val="24"/>
              </w:rPr>
              <w:t>електропривод</w:t>
            </w:r>
            <w:proofErr w:type="spellEnd"/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2676F" w:rsidRPr="00B7675D" w:rsidTr="00BE3753">
        <w:trPr>
          <w:cantSplit/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6A01EA" w:rsidP="008D2B98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E2676F"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="00E2676F"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Статус освітньої компоненти: (обов’язкова чи вибіркова): </w:t>
            </w:r>
            <w:r w:rsidR="008D2B98"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E2676F" w:rsidRPr="00B7675D" w:rsidTr="00BE3753">
        <w:trPr>
          <w:cantSplit/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B7675D" w:rsidRDefault="006A01EA" w:rsidP="003E481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E2676F"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E2676F"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Семестр: </w:t>
            </w:r>
            <w:r w:rsidR="003E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676F" w:rsidRPr="00B7675D" w:rsidTr="00BE3753">
        <w:trPr>
          <w:cantSplit/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6A01EA" w:rsidP="00E2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E2676F"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E2676F"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Контактні дані викладача: ст. викладач </w:t>
            </w:r>
            <w:r w:rsidR="00E2676F" w:rsidRPr="00B76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Петренко Діана Володимирівна</w:t>
            </w:r>
            <w:r w:rsidR="008D2B98"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676F" w:rsidRPr="00B7675D" w:rsidRDefault="00E2676F" w:rsidP="00E267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корпоративна адреса електронної пошти: </w:t>
            </w:r>
            <w:r w:rsidRPr="00B767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Petrenko.dv@knuba.edu.ua</w:t>
            </w:r>
            <w:r w:rsidRPr="00B7675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E2676F" w:rsidRPr="00B7675D" w:rsidRDefault="00E2676F" w:rsidP="00E267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7675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B7675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.: +38 (044) 241-54-91;</w:t>
            </w:r>
          </w:p>
          <w:p w:rsidR="00E2676F" w:rsidRPr="00B7675D" w:rsidRDefault="00E2676F" w:rsidP="00E267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B7675D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+38 (095) 531 70 97</w:t>
            </w:r>
          </w:p>
          <w:p w:rsidR="00E2676F" w:rsidRPr="00B7675D" w:rsidRDefault="00E2676F" w:rsidP="00E26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 на сайті КНУБА: </w:t>
            </w:r>
            <w:hyperlink r:id="rId9" w:history="1">
              <w:r w:rsidR="00A54DD3" w:rsidRPr="00775C3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https://www.knuba.edu.ua/petrenko-d-v-%ef%bf%bc/</w:t>
              </w:r>
            </w:hyperlink>
            <w:r w:rsidR="00A54DD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E2676F" w:rsidRPr="00B7675D" w:rsidTr="00BE3753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E2676F" w:rsidP="006A01EA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6A01EA"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Мова </w:t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  <w:r w:rsidRPr="00B76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B767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E2676F" w:rsidRPr="00B7675D" w:rsidTr="00BE3753">
        <w:trPr>
          <w:cantSplit/>
          <w:trHeight w:val="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B0" w:rsidRDefault="00E2676F" w:rsidP="004B7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A01EA"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76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B7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48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73B0" w:rsidRDefault="004B73B0" w:rsidP="004B7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3B0" w:rsidRPr="00B7675D" w:rsidRDefault="004B73B0" w:rsidP="004B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12) Мета курсу:</w:t>
            </w:r>
            <w:r w:rsidRPr="00B7675D">
              <w:rPr>
                <w:sz w:val="24"/>
                <w:szCs w:val="24"/>
                <w:lang w:val="uk-UA"/>
              </w:rPr>
              <w:t xml:space="preserve"> </w:t>
            </w:r>
            <w:r w:rsidRPr="00B76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одержання студентами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теорії права і держави, основ конституційного, адміністративного, цивільного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трудового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галузей права задля підвищення рівня  правосвідомості та правової культури. Курс спрямовано на  вироблення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орієнтуватися у діючому законодавстві, правильно застосовувати  правові норми у конкретних життєвих ситуаціях і у професійній діяльності.  </w:t>
            </w:r>
          </w:p>
          <w:p w:rsidR="008D2B98" w:rsidRPr="00B7675D" w:rsidRDefault="008D2B98" w:rsidP="003E4812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2676F" w:rsidRDefault="00E2676F" w:rsidP="00E2676F">
      <w:pPr>
        <w:spacing w:after="0" w:line="240" w:lineRule="auto"/>
        <w:rPr>
          <w:sz w:val="24"/>
          <w:szCs w:val="24"/>
          <w:lang w:val="uk-UA"/>
        </w:rPr>
      </w:pPr>
    </w:p>
    <w:p w:rsidR="00B7675D" w:rsidRDefault="00B7675D" w:rsidP="00E2676F">
      <w:pPr>
        <w:spacing w:after="0" w:line="240" w:lineRule="auto"/>
        <w:rPr>
          <w:sz w:val="24"/>
          <w:szCs w:val="24"/>
          <w:lang w:val="uk-UA"/>
        </w:rPr>
      </w:pPr>
    </w:p>
    <w:p w:rsidR="00353969" w:rsidRPr="00E2676F" w:rsidRDefault="00353969" w:rsidP="00E2676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2160"/>
        <w:gridCol w:w="2160"/>
        <w:gridCol w:w="2449"/>
      </w:tblGrid>
      <w:tr w:rsidR="00E2676F" w:rsidRPr="00E2676F" w:rsidTr="00BE3753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6F" w:rsidRPr="00B7675D" w:rsidRDefault="00E2676F" w:rsidP="004B73B0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  <w:r w:rsidR="006A01EA" w:rsidRPr="00B76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B76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 Результати навчання:</w:t>
            </w:r>
          </w:p>
        </w:tc>
      </w:tr>
      <w:tr w:rsidR="00E2676F" w:rsidRPr="00E2676F" w:rsidTr="00BE3753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3E7D91" w:rsidRDefault="00E2676F" w:rsidP="00E267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7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Програмний результат навчання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3E7D91" w:rsidRDefault="00E2676F" w:rsidP="00E267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7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 перевірки навчального ефекту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3E7D91" w:rsidRDefault="00E2676F" w:rsidP="00E2676F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7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проведення занять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3E7D91" w:rsidRDefault="00E2676F" w:rsidP="00E267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7D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 на компетентності</w:t>
            </w:r>
          </w:p>
        </w:tc>
      </w:tr>
      <w:tr w:rsidR="00E2676F" w:rsidRPr="00E2676F" w:rsidTr="003E7D91">
        <w:trPr>
          <w:cantSplit/>
          <w:trHeight w:val="4965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D7" w:rsidRPr="006341D7" w:rsidRDefault="006341D7" w:rsidP="006341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ПР10. Знаходити необхідну інформацію в науково-технічній літературі, базах даних та</w:t>
            </w:r>
          </w:p>
          <w:p w:rsidR="00C03883" w:rsidRPr="00507131" w:rsidRDefault="006341D7" w:rsidP="006341D7">
            <w:pPr>
              <w:spacing w:after="0" w:line="276" w:lineRule="auto"/>
              <w:ind w:firstLine="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інших джерелах інформації, оцінювати її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релевантність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достовірність.</w:t>
            </w:r>
          </w:p>
          <w:p w:rsidR="006341D7" w:rsidRPr="006341D7" w:rsidRDefault="006341D7" w:rsidP="006341D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ПР14.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європейської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поваги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до прав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1D7" w:rsidRPr="006341D7" w:rsidRDefault="006341D7" w:rsidP="006341D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прийнятті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1D7" w:rsidRPr="006341D7" w:rsidRDefault="006341D7" w:rsidP="006341D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ПР16. Знати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інженерної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</w:p>
          <w:p w:rsidR="006341D7" w:rsidRPr="006341D7" w:rsidRDefault="006341D7" w:rsidP="006341D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інтелектуальної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виробничої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санітарії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76F" w:rsidRPr="00507131" w:rsidRDefault="006341D7" w:rsidP="006341D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прийнятті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4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07131" w:rsidRDefault="00E2676F" w:rsidP="003E7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07131" w:rsidRDefault="00E2676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3E7D91" w:rsidRDefault="00E2676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E2676F" w:rsidRPr="003E7D91" w:rsidRDefault="00E2676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C03883" w:rsidRPr="003E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  <w:p w:rsidR="00C03883" w:rsidRDefault="00C03883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E05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  <w:p w:rsidR="00E0522E" w:rsidRDefault="00E0522E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</w:t>
            </w:r>
          </w:p>
          <w:p w:rsidR="00E0522E" w:rsidRPr="003E7D91" w:rsidRDefault="00E0522E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09</w:t>
            </w:r>
          </w:p>
          <w:p w:rsidR="00E2676F" w:rsidRPr="003E7D91" w:rsidRDefault="00E0522E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5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К17</w:t>
            </w:r>
            <w:r w:rsidR="00C03883" w:rsidRPr="003E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676F" w:rsidRPr="003E7D9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E2676F" w:rsidRPr="00507131" w:rsidRDefault="00E2676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5071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</w:tbl>
    <w:p w:rsidR="00E2676F" w:rsidRPr="00E2676F" w:rsidRDefault="00E2676F" w:rsidP="00E2676F">
      <w:pPr>
        <w:spacing w:after="0" w:line="240" w:lineRule="auto"/>
        <w:rPr>
          <w:sz w:val="24"/>
          <w:szCs w:val="24"/>
          <w:lang w:val="uk-UA"/>
        </w:rPr>
      </w:pPr>
      <w:bookmarkStart w:id="0" w:name="_GoBack"/>
      <w:bookmarkEnd w:id="0"/>
    </w:p>
    <w:p w:rsidR="008D2B98" w:rsidRDefault="008D2B98" w:rsidP="00E2676F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E2676F" w:rsidRPr="00507131" w:rsidRDefault="00507131" w:rsidP="00E26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7131">
        <w:rPr>
          <w:rFonts w:ascii="Times New Roman" w:hAnsi="Times New Roman" w:cs="Times New Roman"/>
          <w:b/>
          <w:bCs/>
          <w:sz w:val="24"/>
          <w:szCs w:val="24"/>
        </w:rPr>
        <w:t xml:space="preserve">14) Структура курсу, </w:t>
      </w:r>
      <w:proofErr w:type="spellStart"/>
      <w:r w:rsidRPr="00507131">
        <w:rPr>
          <w:rFonts w:ascii="Times New Roman" w:hAnsi="Times New Roman" w:cs="Times New Roman"/>
          <w:b/>
          <w:bCs/>
          <w:sz w:val="24"/>
          <w:szCs w:val="24"/>
        </w:rPr>
        <w:t>денна</w:t>
      </w:r>
      <w:proofErr w:type="spellEnd"/>
      <w:r w:rsidR="00541D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07131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spellStart"/>
      <w:r w:rsidRPr="00507131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Pr="005071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246"/>
        <w:gridCol w:w="1418"/>
        <w:gridCol w:w="1426"/>
        <w:gridCol w:w="573"/>
        <w:gridCol w:w="1282"/>
        <w:gridCol w:w="1785"/>
      </w:tblGrid>
      <w:tr w:rsidR="001C516A" w:rsidRPr="00E2676F" w:rsidTr="001C516A">
        <w:trPr>
          <w:cantSplit/>
          <w:trHeight w:val="116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заняття,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заняття, год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Курсовий проект/ курсова робота РГР/Контрольна робота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 робота здобувача,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1C516A" w:rsidRPr="00E2676F" w:rsidTr="001C516A">
        <w:trPr>
          <w:cantSplit/>
          <w:trHeight w:val="391"/>
        </w:trPr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6341D7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6341D7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B768C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0/1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FF677F" w:rsidP="006341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6341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FF677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E2676F" w:rsidRPr="00E2676F" w:rsidTr="001C516A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годин: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FF677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2676F" w:rsidRPr="00E2676F" w:rsidTr="001C516A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E2676F" w:rsidP="00E2676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кредитів ЕСТS: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6F" w:rsidRPr="00541D42" w:rsidRDefault="00FF677F" w:rsidP="00E2676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E2676F"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541D42" w:rsidRPr="00E2676F" w:rsidTr="001C516A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42" w:rsidRPr="00E2676F" w:rsidRDefault="00541D42" w:rsidP="00E2676F">
            <w:pPr>
              <w:spacing w:after="0" w:line="276" w:lineRule="auto"/>
              <w:rPr>
                <w:b/>
                <w:sz w:val="24"/>
                <w:szCs w:val="24"/>
                <w:lang w:val="uk-UA"/>
              </w:rPr>
            </w:pPr>
            <w:r w:rsidRPr="00541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(кредитів ЕСТS) аудиторного навантаження: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42" w:rsidRPr="000D1635" w:rsidRDefault="006341D7" w:rsidP="006341D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0D1635" w:rsidRPr="000D1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D1635" w:rsidRPr="000D16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E2676F" w:rsidRPr="005771A1" w:rsidTr="006004F3">
        <w:trPr>
          <w:cantSplit/>
          <w:trHeight w:val="12148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676F" w:rsidRPr="008D2B98" w:rsidRDefault="00E2676F" w:rsidP="00E26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EB7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Зміст: (окремо для кожної форми занять – Л/</w:t>
            </w:r>
            <w:proofErr w:type="spellStart"/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КР/СРС)</w:t>
            </w:r>
          </w:p>
          <w:p w:rsidR="00B147B1" w:rsidRPr="008D2B98" w:rsidRDefault="00B147B1" w:rsidP="00E2676F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B768C" w:rsidRPr="006341D7" w:rsidRDefault="00EB768C" w:rsidP="001C5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1</w:t>
            </w:r>
          </w:p>
          <w:p w:rsidR="006341D7" w:rsidRPr="006341D7" w:rsidRDefault="006341D7" w:rsidP="006341D7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«Основи теорії держави і права»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1. Основи теорії держави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Виникнення держави. Теорії походження держави.</w:t>
            </w:r>
          </w:p>
          <w:p w:rsidR="006341D7" w:rsidRPr="006341D7" w:rsidRDefault="006341D7" w:rsidP="006341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Поняття та ознаки держави.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Завдання та функції держави.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Форма держави.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Громадянське суспільство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</w:t>
            </w: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правова держава.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</w:t>
            </w: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2,3. Основи теорії права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Причини та умови виникнення права.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Поняття права (сутність, принципи, функції).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Джерела права.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Система права.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Правові відносини: поняття, ознаки, структура правовідносин.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Правомірна поведінка: поняття та класифікація.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Правопорушення: поняття правопорушення та його склад.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Юридична відповідальність: поняття, ознаки та  підстави.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F7CC4" w:rsidRDefault="006341D7" w:rsidP="009F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2</w:t>
            </w:r>
          </w:p>
          <w:p w:rsidR="006341D7" w:rsidRPr="006341D7" w:rsidRDefault="006341D7" w:rsidP="009F7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«Основи галузей права України»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4.</w:t>
            </w: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Основи конституційного права України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Конституційне право України: поняття і система. Загальна характеристика Конституції України.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Народовладдя в Україні та форми його здійснення.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Загальна характеристика системи органів державної влади і місцевого самоврядування в Україні.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,6.</w:t>
            </w: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Основи адміністративного права України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Адміністративне право України: поняття і система. Загальна характеристика Кодексу України про адміністративні правопорушення.</w:t>
            </w:r>
          </w:p>
          <w:p w:rsidR="006341D7" w:rsidRPr="006341D7" w:rsidRDefault="006341D7" w:rsidP="006341D7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Адміністративно-правові відносини.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Адміністративні правопорушення. Поняття складу адміністративного правопорушення.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Адміністративна відповідальність та порядок її застосування.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Лекція  7,8. </w:t>
            </w: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цивільного права України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Цивільне право України: поняття і система. Загальна характеристика Цивільного кодексу України.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Цивільно-правові відносини.</w:t>
            </w:r>
          </w:p>
          <w:p w:rsidR="006341D7" w:rsidRPr="006341D7" w:rsidRDefault="006341D7" w:rsidP="006341D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Право власності.</w:t>
            </w:r>
          </w:p>
          <w:p w:rsidR="006341D7" w:rsidRPr="006341D7" w:rsidRDefault="006341D7" w:rsidP="006341D7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4. Цивільно-правовий договір. 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Цивільно-правова відповідальність та порядок її застосування.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Інститут спадкування: поняття, види та порядок спадкування.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Лекція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9,10</w:t>
            </w:r>
            <w:r w:rsidRPr="006341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трудового права України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Трудове право України: поняття і система. Загальна характеристика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законів про працю України.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Трудові правовідносини.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Трудовий договір: поняття, види, порядок укладення та припинення.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Поняття і види робочого часу і часу відпочинку.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Трудова дисципліна. </w:t>
            </w:r>
            <w:r w:rsidRPr="006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Дисциплінарна відповідальність </w:t>
            </w: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порядок її застосування.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Матеріальна відповідальність та порядок її застосування.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3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«Набуття загальних навичок застосування правових норм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3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 професійній діяльності і повсякденному житті»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Практичне заняття 1-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9</w:t>
            </w:r>
            <w:r w:rsidRPr="006341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6341D7" w:rsidRPr="006341D7" w:rsidRDefault="006341D7" w:rsidP="006341D7">
            <w:pPr>
              <w:spacing w:after="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Опитування студентів з питань, що розглядалися на лекціях, а також тих, що давалися на самостійне опрацювання. 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Вирішування ситуативних завдань, запропонованих викладачем, шляхом застосування відповідних нормативних актів.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оцінювання.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Практичне заняття 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0</w:t>
            </w:r>
            <w:r w:rsidRPr="00634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</w:p>
          <w:p w:rsidR="006341D7" w:rsidRPr="006341D7" w:rsidRDefault="006341D7" w:rsidP="006341D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останньому практичному занятті студенти повинні захистити підготовлені ними реферати на одну із запропонованих викладачем тем.</w:t>
            </w:r>
          </w:p>
          <w:p w:rsidR="008D2B98" w:rsidRPr="008D2B98" w:rsidRDefault="006004F3" w:rsidP="00F50A7C">
            <w:pPr>
              <w:tabs>
                <w:tab w:val="left" w:pos="1843"/>
                <w:tab w:val="left" w:pos="1985"/>
              </w:tabs>
              <w:spacing w:after="0" w:line="240" w:lineRule="auto"/>
              <w:ind w:right="-8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E2676F" w:rsidRDefault="008D2B98" w:rsidP="00524863">
            <w:pPr>
              <w:tabs>
                <w:tab w:val="left" w:pos="1843"/>
                <w:tab w:val="left" w:pos="1985"/>
              </w:tabs>
              <w:spacing w:after="0" w:line="240" w:lineRule="auto"/>
              <w:ind w:right="-88"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E2676F"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амостійна робота/теми</w:t>
            </w:r>
            <w:r w:rsidR="00810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4476D" w:rsidRPr="0024476D" w:rsidRDefault="0024476D" w:rsidP="0024476D">
            <w:pPr>
              <w:pStyle w:val="Default"/>
              <w:ind w:left="209"/>
            </w:pPr>
            <w:r>
              <w:rPr>
                <w:b/>
                <w:lang w:val="uk-UA"/>
              </w:rPr>
              <w:t xml:space="preserve">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1. </w:t>
            </w:r>
            <w:proofErr w:type="spellStart"/>
            <w:r w:rsidRPr="0024476D">
              <w:t>Верховна</w:t>
            </w:r>
            <w:proofErr w:type="spellEnd"/>
            <w:r w:rsidRPr="0024476D">
              <w:t xml:space="preserve"> Рада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 – </w:t>
            </w:r>
            <w:proofErr w:type="spellStart"/>
            <w:r w:rsidRPr="0024476D">
              <w:t>вищий</w:t>
            </w:r>
            <w:proofErr w:type="spellEnd"/>
            <w:r w:rsidRPr="0024476D">
              <w:t xml:space="preserve"> орган </w:t>
            </w:r>
            <w:proofErr w:type="spellStart"/>
            <w:r w:rsidRPr="0024476D">
              <w:t>законодавчої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влади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2. </w:t>
            </w:r>
            <w:proofErr w:type="spellStart"/>
            <w:r w:rsidRPr="0024476D">
              <w:t>Інститут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президентури</w:t>
            </w:r>
            <w:proofErr w:type="spellEnd"/>
            <w:r w:rsidRPr="0024476D">
              <w:t xml:space="preserve"> в </w:t>
            </w:r>
            <w:proofErr w:type="spellStart"/>
            <w:r w:rsidRPr="0024476D">
              <w:t>Україні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3. </w:t>
            </w:r>
            <w:proofErr w:type="spellStart"/>
            <w:r w:rsidRPr="0024476D">
              <w:t>Кабінет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Міністрів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 – </w:t>
            </w:r>
            <w:proofErr w:type="spellStart"/>
            <w:r w:rsidRPr="0024476D">
              <w:t>вищий</w:t>
            </w:r>
            <w:proofErr w:type="spellEnd"/>
            <w:r w:rsidRPr="0024476D">
              <w:t xml:space="preserve"> орган </w:t>
            </w:r>
            <w:proofErr w:type="spellStart"/>
            <w:r w:rsidRPr="0024476D">
              <w:t>виконавчої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влади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4. </w:t>
            </w:r>
            <w:proofErr w:type="spellStart"/>
            <w:r w:rsidRPr="0024476D">
              <w:t>Судова</w:t>
            </w:r>
            <w:proofErr w:type="spellEnd"/>
            <w:r w:rsidRPr="0024476D">
              <w:t xml:space="preserve"> система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: суди </w:t>
            </w:r>
            <w:proofErr w:type="spellStart"/>
            <w:r w:rsidRPr="0024476D">
              <w:t>загальної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юрисдикції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5. </w:t>
            </w:r>
            <w:proofErr w:type="spellStart"/>
            <w:r w:rsidRPr="0024476D">
              <w:t>Судова</w:t>
            </w:r>
            <w:proofErr w:type="spellEnd"/>
            <w:r w:rsidRPr="0024476D">
              <w:t xml:space="preserve"> система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: суди </w:t>
            </w:r>
            <w:proofErr w:type="spellStart"/>
            <w:r w:rsidRPr="0024476D">
              <w:t>спеціальної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юрисдикції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6. </w:t>
            </w:r>
            <w:proofErr w:type="spellStart"/>
            <w:r w:rsidRPr="0024476D">
              <w:t>Конституційний</w:t>
            </w:r>
            <w:proofErr w:type="spellEnd"/>
            <w:r w:rsidRPr="0024476D">
              <w:t xml:space="preserve"> Суд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 як орган </w:t>
            </w:r>
            <w:proofErr w:type="spellStart"/>
            <w:r w:rsidRPr="0024476D">
              <w:t>конституційної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юрисдикції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7. </w:t>
            </w:r>
            <w:proofErr w:type="spellStart"/>
            <w:r w:rsidRPr="0024476D">
              <w:t>Інститут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омбудсмана</w:t>
            </w:r>
            <w:proofErr w:type="spellEnd"/>
            <w:r w:rsidRPr="0024476D">
              <w:t xml:space="preserve"> в </w:t>
            </w:r>
            <w:proofErr w:type="spellStart"/>
            <w:r w:rsidRPr="0024476D">
              <w:t>Україні</w:t>
            </w:r>
            <w:proofErr w:type="spellEnd"/>
            <w:r w:rsidRPr="0024476D">
              <w:t xml:space="preserve"> і </w:t>
            </w:r>
            <w:proofErr w:type="spellStart"/>
            <w:r w:rsidRPr="0024476D">
              <w:t>світі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8. </w:t>
            </w:r>
            <w:proofErr w:type="spellStart"/>
            <w:r w:rsidRPr="0024476D">
              <w:t>Уповноважений</w:t>
            </w:r>
            <w:proofErr w:type="spellEnd"/>
            <w:r w:rsidRPr="0024476D">
              <w:t xml:space="preserve"> Президента з прав </w:t>
            </w:r>
            <w:proofErr w:type="spellStart"/>
            <w:r w:rsidRPr="0024476D">
              <w:t>дитини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9. </w:t>
            </w:r>
            <w:proofErr w:type="spellStart"/>
            <w:r w:rsidRPr="0024476D">
              <w:t>Органи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місцевого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самоврядування</w:t>
            </w:r>
            <w:proofErr w:type="spellEnd"/>
            <w:r w:rsidRPr="0024476D">
              <w:t xml:space="preserve"> й </w:t>
            </w:r>
            <w:proofErr w:type="spellStart"/>
            <w:r w:rsidRPr="0024476D">
              <w:t>управління</w:t>
            </w:r>
            <w:proofErr w:type="spellEnd"/>
            <w:r w:rsidRPr="0024476D">
              <w:t xml:space="preserve"> в </w:t>
            </w:r>
            <w:proofErr w:type="spellStart"/>
            <w:r w:rsidRPr="0024476D">
              <w:t>Україні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10. </w:t>
            </w:r>
            <w:proofErr w:type="spellStart"/>
            <w:r w:rsidRPr="0024476D">
              <w:t>Органи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прокуратури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11. </w:t>
            </w:r>
            <w:proofErr w:type="spellStart"/>
            <w:r w:rsidRPr="0024476D">
              <w:t>Органи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внутрішніх</w:t>
            </w:r>
            <w:proofErr w:type="spellEnd"/>
            <w:r w:rsidRPr="0024476D">
              <w:t xml:space="preserve"> справ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12. Служба </w:t>
            </w:r>
            <w:proofErr w:type="spellStart"/>
            <w:r w:rsidRPr="0024476D">
              <w:t>безпеки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13. </w:t>
            </w:r>
            <w:proofErr w:type="spellStart"/>
            <w:r w:rsidRPr="0024476D">
              <w:t>Державна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податкова</w:t>
            </w:r>
            <w:proofErr w:type="spellEnd"/>
            <w:r w:rsidRPr="0024476D">
              <w:t xml:space="preserve"> служба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14. </w:t>
            </w:r>
            <w:proofErr w:type="spellStart"/>
            <w:r w:rsidRPr="0024476D">
              <w:t>Нотаріат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lastRenderedPageBreak/>
              <w:t xml:space="preserve">15. Адвокатура </w:t>
            </w:r>
            <w:proofErr w:type="spellStart"/>
            <w:r w:rsidRPr="0024476D">
              <w:t>України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16. </w:t>
            </w:r>
            <w:proofErr w:type="spellStart"/>
            <w:r w:rsidRPr="0024476D">
              <w:t>Інститут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громадянства</w:t>
            </w:r>
            <w:proofErr w:type="spellEnd"/>
            <w:r w:rsidRPr="0024476D">
              <w:t xml:space="preserve"> в </w:t>
            </w:r>
            <w:proofErr w:type="spellStart"/>
            <w:r w:rsidRPr="0024476D">
              <w:t>Україні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17. </w:t>
            </w:r>
            <w:proofErr w:type="spellStart"/>
            <w:r w:rsidRPr="0024476D">
              <w:t>Політико-правовий</w:t>
            </w:r>
            <w:proofErr w:type="spellEnd"/>
            <w:r w:rsidRPr="0024476D">
              <w:t xml:space="preserve"> статус особи і </w:t>
            </w:r>
            <w:proofErr w:type="spellStart"/>
            <w:r w:rsidRPr="0024476D">
              <w:t>громадянина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18. </w:t>
            </w:r>
            <w:proofErr w:type="spellStart"/>
            <w:r w:rsidRPr="0024476D">
              <w:t>Інститут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виборів</w:t>
            </w:r>
            <w:proofErr w:type="spellEnd"/>
            <w:r w:rsidRPr="0024476D">
              <w:t xml:space="preserve"> в </w:t>
            </w:r>
            <w:proofErr w:type="spellStart"/>
            <w:r w:rsidRPr="0024476D">
              <w:t>Україні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19. </w:t>
            </w:r>
            <w:proofErr w:type="spellStart"/>
            <w:r w:rsidRPr="0024476D">
              <w:t>Інститути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безпосередньої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демократії</w:t>
            </w:r>
            <w:proofErr w:type="spellEnd"/>
            <w:r w:rsidRPr="0024476D">
              <w:t xml:space="preserve">. </w:t>
            </w:r>
          </w:p>
          <w:p w:rsidR="0024476D" w:rsidRPr="0024476D" w:rsidRDefault="0024476D" w:rsidP="0024476D">
            <w:pPr>
              <w:pStyle w:val="Default"/>
              <w:spacing w:after="38"/>
              <w:ind w:left="209"/>
            </w:pPr>
            <w:r w:rsidRPr="0024476D">
              <w:t xml:space="preserve">20. </w:t>
            </w:r>
            <w:r w:rsidR="005633D3">
              <w:rPr>
                <w:lang w:val="uk-UA"/>
              </w:rPr>
              <w:t>Юридична відповідальність</w:t>
            </w:r>
            <w:r w:rsidRPr="0024476D">
              <w:t xml:space="preserve"> за </w:t>
            </w:r>
            <w:proofErr w:type="spellStart"/>
            <w:r w:rsidRPr="0024476D">
              <w:t>правопорушення</w:t>
            </w:r>
            <w:proofErr w:type="spellEnd"/>
            <w:r w:rsidRPr="0024476D">
              <w:t xml:space="preserve"> у </w:t>
            </w:r>
            <w:proofErr w:type="spellStart"/>
            <w:r w:rsidRPr="0024476D">
              <w:t>сфері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будівельної</w:t>
            </w:r>
            <w:proofErr w:type="spellEnd"/>
            <w:r w:rsidRPr="0024476D">
              <w:t xml:space="preserve"> </w:t>
            </w:r>
            <w:proofErr w:type="spellStart"/>
            <w:r w:rsidRPr="0024476D">
              <w:t>діяльності</w:t>
            </w:r>
            <w:proofErr w:type="spellEnd"/>
            <w:r w:rsidRPr="0024476D">
              <w:t xml:space="preserve">. </w:t>
            </w:r>
          </w:p>
          <w:p w:rsidR="00F50A7C" w:rsidRPr="008D2B98" w:rsidRDefault="0024476D" w:rsidP="0024476D">
            <w:pPr>
              <w:pStyle w:val="Default"/>
              <w:ind w:left="209"/>
              <w:rPr>
                <w:rFonts w:eastAsia="Times New Roman"/>
                <w:lang w:eastAsia="ru-RU"/>
              </w:rPr>
            </w:pPr>
            <w:r>
              <w:rPr>
                <w:lang w:val="uk-UA"/>
              </w:rPr>
              <w:t xml:space="preserve"> </w:t>
            </w:r>
            <w:r w:rsidR="00F50A7C" w:rsidRPr="008D2B98">
              <w:rPr>
                <w:rFonts w:eastAsia="Times New Roman"/>
                <w:b/>
                <w:lang w:val="uk-UA" w:eastAsia="ru-RU"/>
              </w:rPr>
              <w:t xml:space="preserve"> </w:t>
            </w:r>
          </w:p>
          <w:p w:rsidR="00F24375" w:rsidRDefault="006740C0" w:rsidP="00566E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243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DA37DF" w:rsidRPr="008D2B9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Основна література:</w:t>
            </w:r>
            <w:r w:rsidR="0024476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Правознавство: [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відп. ред. О.В.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Дзера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]. 12-е вид., перероб. і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Юрінком Інтер, 2019. – 632 с. </w:t>
            </w:r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2"/>
              </w:numPr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Погорілко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В.Ф.,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Шпиталенко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Г.А. Правознавство: Підручник. 6-тє вид.,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випр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- К.: Каравела, 2020.-602 с.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Правознавство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посібник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заг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 ред.</w:t>
            </w:r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Пєткова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Дніпро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імені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Альфреда Нобеля,</w:t>
            </w:r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E177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2020. – 360 с.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Тополевський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Б., Федіна Н. В. Теорія держави і права: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посібник. Львів: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ЛьвДУВС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2020. - 268 с.</w:t>
            </w:r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Конституційне право: підручник / за загальною редакцією М.І.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Козюбри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./ Ю.Г. Барабаш, О.М. Бориславська, В.М.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Венгер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, М.І.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Козюбра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, А.А.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Мелешевич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. - К.: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Ваіте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, 2021. – 528 с.</w:t>
            </w:r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177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Адміністративне</w:t>
            </w:r>
            <w:proofErr w:type="spell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курс :</w:t>
            </w:r>
            <w:proofErr w:type="gram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Галунько</w:t>
            </w:r>
            <w:proofErr w:type="spell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</w:t>
            </w:r>
            <w:r w:rsidRPr="00E17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Діхтієвський</w:t>
            </w:r>
            <w:proofErr w:type="spell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 Кузьменко О., Стеценко С. та </w:t>
            </w:r>
            <w:proofErr w:type="spell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ін</w:t>
            </w:r>
            <w:proofErr w:type="spell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>Херсон :</w:t>
            </w:r>
            <w:proofErr w:type="gramEnd"/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ОЛДІ-ПЛЮС, 2018</w:t>
            </w:r>
            <w:r w:rsidRPr="00E17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E17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446 с.</w:t>
            </w:r>
          </w:p>
          <w:p w:rsidR="00566E2C" w:rsidRPr="00E17760" w:rsidRDefault="00566E2C" w:rsidP="00EF52AB">
            <w:pPr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Парасюк М.В., Парасюк В.М., Грабар Н.М. 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Цивільне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gram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схемах</w:t>
            </w:r>
            <w:proofErr w:type="gram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таблицях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Растр-7, 2020. 364 с.</w:t>
            </w:r>
          </w:p>
          <w:p w:rsidR="00566E2C" w:rsidRPr="00E17760" w:rsidRDefault="00566E2C" w:rsidP="00EF52AB">
            <w:pPr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Цивільне право України :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2 т. / Ю. Ф. Іванов, О. В.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Куриліна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В. Іванова – 2-ге вид.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Т. 1. – К.: </w:t>
            </w:r>
            <w:proofErr w:type="spellStart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Алерта</w:t>
            </w:r>
            <w:proofErr w:type="spellEnd"/>
            <w:r w:rsidRPr="00E17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 – 342 с.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Процьків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Н.М.,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Гетьманцева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Н.Д. Сімейне право:  навчально-методичний посібник. Чернівці: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Чернівец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.. ун-т ім.. Ю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Федьковича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 2021- 148 с.</w:t>
            </w:r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cr/>
            </w:r>
            <w:r w:rsidRPr="00E17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  <w:r w:rsidRPr="00E17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Трудове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підручник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(за ред. проф. О. М. Ярошенко).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Харків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Вид-во 2022. – 376 </w:t>
            </w:r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с.  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Трудове право України : підручник / МВС України, Харків.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ун-т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внутр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справ; [С. М. Бортник, К. Ю. Мельник, Л. В.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Могілевський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ін.]. – Харків, 2019. – 408 с </w:t>
            </w:r>
          </w:p>
          <w:p w:rsidR="00566E2C" w:rsidRPr="00E17760" w:rsidRDefault="00566E2C" w:rsidP="00EF52AB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7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Тернавська В.М. Трудове право України :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посібник / В.М. Тернавська. – Київ : КНУБА, 2019. – 180 с. URL : </w:t>
            </w:r>
            <w:hyperlink r:id="rId10" w:history="1">
              <w:r w:rsidRPr="00E17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http://library.knuba.edu.ua/books/9_1_19.pdf</w:t>
              </w:r>
            </w:hyperlink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566E2C" w:rsidRDefault="00566E2C" w:rsidP="00566E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13. Кримінальне право України. Загальна частина : підручник /підготовлено колективом авторів; за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заг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ред. В. Я.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Конопельського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В. </w:t>
            </w:r>
            <w:proofErr w:type="spellStart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О.Меркулової</w:t>
            </w:r>
            <w:proofErr w:type="spellEnd"/>
            <w:r w:rsidRPr="00E1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 Одеса, ОДУВС, 2021- 452 с.</w:t>
            </w:r>
          </w:p>
          <w:p w:rsidR="00C6143C" w:rsidRPr="00C6143C" w:rsidRDefault="00C6143C" w:rsidP="00F24375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4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F24375" w:rsidRPr="00F24375">
              <w:trPr>
                <w:trHeight w:val="107"/>
              </w:trPr>
              <w:tc>
                <w:tcPr>
                  <w:tcW w:w="0" w:type="auto"/>
                </w:tcPr>
                <w:p w:rsidR="00F24375" w:rsidRPr="00032FE3" w:rsidRDefault="00F24375" w:rsidP="00032FE3">
                  <w:pPr>
                    <w:tabs>
                      <w:tab w:val="left" w:pos="67"/>
                      <w:tab w:val="left" w:pos="426"/>
                      <w:tab w:val="left" w:pos="851"/>
                    </w:tabs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17</w:t>
                  </w:r>
                  <w:r w:rsidRPr="00032F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) </w:t>
                  </w:r>
                  <w:r w:rsidRPr="005633D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Додаткові джерела:</w:t>
                  </w:r>
                  <w:r w:rsidRPr="00032F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32FE3" w:rsidRPr="00032FE3" w:rsidRDefault="00032FE3" w:rsidP="00EF52AB">
                  <w:pPr>
                    <w:numPr>
                      <w:ilvl w:val="0"/>
                      <w:numId w:val="1"/>
                    </w:numPr>
                    <w:tabs>
                      <w:tab w:val="left" w:pos="67"/>
                      <w:tab w:val="left" w:pos="426"/>
                      <w:tab w:val="left" w:pos="851"/>
                    </w:tabs>
                    <w:spacing w:after="200" w:line="276" w:lineRule="auto"/>
                    <w:ind w:left="0" w:firstLine="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proofErr w:type="spellStart"/>
                  <w:r w:rsidRPr="00032F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Тертишник</w:t>
                  </w:r>
                  <w:proofErr w:type="spellEnd"/>
                  <w:r w:rsidRPr="00032F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 В.М. Конституція України. Науково-практичний коментар. Київ: </w:t>
                  </w:r>
                  <w:proofErr w:type="spellStart"/>
                  <w:r w:rsidRPr="00032F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Алерта</w:t>
                  </w:r>
                  <w:proofErr w:type="spellEnd"/>
                  <w:r w:rsidRPr="00032FE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2022. 430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F24375" w:rsidRDefault="00F24375" w:rsidP="00EF52AB">
            <w:pPr>
              <w:numPr>
                <w:ilvl w:val="0"/>
                <w:numId w:val="1"/>
              </w:numPr>
              <w:tabs>
                <w:tab w:val="left" w:pos="67"/>
                <w:tab w:val="left" w:pos="426"/>
                <w:tab w:val="left" w:pos="851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Науково-практичний коментар Цивільного кодексу України [Текст] : у 2 т. / за </w:t>
            </w:r>
            <w:proofErr w:type="spellStart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О. В. </w:t>
            </w:r>
            <w:proofErr w:type="spellStart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Дзери</w:t>
            </w:r>
            <w:proofErr w:type="spellEnd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 С. </w:t>
            </w:r>
            <w:proofErr w:type="spellStart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Кузнєцової</w:t>
            </w:r>
            <w:proofErr w:type="spellEnd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В. </w:t>
            </w:r>
            <w:proofErr w:type="spellStart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Луця</w:t>
            </w:r>
            <w:proofErr w:type="spellEnd"/>
            <w:r w:rsidRPr="00F2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[наук. ред. М. М. Хоменко]. - Київ</w:t>
            </w:r>
            <w:r w:rsidR="00566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Юрінком Інтер, 2019 - 1800 с.</w:t>
            </w:r>
          </w:p>
          <w:p w:rsidR="00DA37DF" w:rsidRPr="00032FE3" w:rsidRDefault="00032FE3" w:rsidP="00032FE3">
            <w:pPr>
              <w:tabs>
                <w:tab w:val="left" w:pos="67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Науково-практичний</w:t>
            </w:r>
            <w:proofErr w:type="spellEnd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/ за </w:t>
            </w:r>
            <w:proofErr w:type="spell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. ред. С. В. </w:t>
            </w:r>
            <w:proofErr w:type="spell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Пєткова</w:t>
            </w:r>
            <w:proofErr w:type="spellEnd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Юрінком</w:t>
            </w:r>
            <w:proofErr w:type="gramEnd"/>
            <w:r w:rsidR="00566E2C"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2F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</w:t>
            </w:r>
            <w:r w:rsidR="00566E2C" w:rsidRPr="00032FE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2FE3" w:rsidRPr="00032FE3" w:rsidRDefault="00032FE3" w:rsidP="00032FE3">
            <w:pPr>
              <w:tabs>
                <w:tab w:val="left" w:pos="67"/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32FE3" w:rsidRDefault="006740C0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18) </w:t>
            </w:r>
            <w:r w:rsidR="00DA37DF"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та законодавчі акти:</w:t>
            </w:r>
            <w:r w:rsidR="00DA37DF" w:rsidRPr="008D2B9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2. Декларація про державний суверенітет України від 16.07.1990 № 55-12 // Відомості Верховної Ради УРСР. – 1990. – № 31. – Ст. 429.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3. Про громадянство України. Закон України від 18.01.2001 № 2235-ІІІ // Відомості Верховної Ради України. – 2001. – № 13. – Ст. 65.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7. Про громадські об'єднання. Закон України від 22.03.2012 № 4572-VI // Відомості Верховної Ради України. – 2013. – № 1. – Ст. 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8. Про політичні партії в Україні. Закон України від 05.04.2001 № 2365-ІІІ // Відомості Верховної Ради України. – 2001. – № 23. – Ст. 118.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10. Про охорону навколишнього природного середовища. Закон України від 25.06.1991 № 1264-ХІІ // Відомості Верховної Ради УРСР. – 1991. – № 41. – Ст. 546.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11.  13. Про Уповноваженого Верховної Ради України з прав людини. Закон України від 23.12.1997 № 776/97-ВР // Відомості Верховної Ради України. – 1998. – № 20. – Ст. 99.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12.   Про Положення про Адміністрацію Президента України. Указ Президента України від 02.04.2010 № 504/2010 // Офіційний вісник України. – 2010. – № 25.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14. Про Кабінет Міністрів України. Закон України від 27.02.2014 № 794-VІI // Відомості Верховної Ради України. – 2014. – № 13. – Ст. 222. 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15. Про центральні органи виконавчої влади. Закон України від 17.03.2011 № 3166-VI // Відомості Верховної Ради України. – 2011. – № 38. – Ст. 385.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16. Про систему центральних органів виконавчої влади. Указ Президента України від 15.12.1999 № 1572/99 // Офіційний вісник України. – 1999. – № 50.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17. Про державну службу. Закон України від 10.12.2015 № 889-VІІI // Відомості Верховної Ради України. – 2016. – № 4. – Ст. 43.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18. Про очищення влади. Закон України від 16.09.2014 № 1682-VІІ // Відомості Верховної Ради України. – 2014. – № 44. – Ст. 2041.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19. Про судоустрій і статус суддів. Закон України від 02.06.2016 № 1402-VIII // Відомості Верховної Ради України. – 2016. – № 31. – Ст. 545.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20. Про Конституційний Суд України. Закон України від 13.07.2017 № 2136-VIII // Відомості Верховної Ради України. – 2017. – № 35. – Ст. 376.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21. Про місцеве самоврядування в Україні. Закон України від 21.05.1997 № 280/97-ВР // Відомості Верховної Ради України. – 1997. – № 24. – Ст. 170.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22. Про Національний банк України. Закон України від 20.05.1999 № 679-XIV // Відомості Верховної Ради України. – 1999. – № 29. – Ст. 238.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23. Про прокуратуру. Закон України від 14.10.2014 № 1697-VІІ // Відомості Верховної Ради України. – 2015. – № 2-3. – Ст. 12.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lastRenderedPageBreak/>
              <w:t>24. Про адвокатуру та адвокатську діяльність. Закон України від 05.07.2012 № 5076-VI // Відомості Верховної Ради України. – 2013. – № 27. – Ст. 282.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25. Про нотаріат. Закон України від 02.09.1993 № 3425-ХІІ // Відомості Верховної Ради України. – 1993. – № 39. – Ст. 383.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Виборчий кодекс України  від 19.12.2019 № 396-IX // Відомості Верховної Ради України .- 2020 - № 7,   № 8, № 9 .  - ст. 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26. Кодекс України про адміністративні правопорушення від 07.12.1984 № 8073-X // Відомості Верховної Ради УРСР. – 1984. – № 51. – Ст. 1122.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27. Цивільний кодекс України від 16.01.2003 № 435-IV // Відомості Верховної Ради України. – 2003. – № 40–44. – Ст. 356.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28. Господарський кодекс України від 16.01.2003 № 436-IV // Відомості Верховної Ради України. – 2003. – № 18, № 19-20, № 21-22. – Ст. 144.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29. Про регулювання містобудівної діяльності. Закон України від 17.02.2011 № 3038-VІ // Відомості Верховної Ради України. – 2011. – № 34. – Ст. 343.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30. Про архітектурну діяльність. Закон України від 20.05.1999 № 687-XIV // Відомості Верховної Ради України. – 1999. – № 31. – Ст. 246.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31. Про будівельні норми. Закон України від 05.11.2009 № 1704-VІ // Відомості Верховної Ради України. – 2010. – № 5. – Ст. 41.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32. Про туризм. Закон України від 15.09.1995 № 324/95-ВР // Відомості Верховної Ради України. – 1995. – № 31. – Ст. 241.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34. Сімейний кодекс України від 10.01.2002 № 2947-III // Відомості Верховної Ради України. – 2002. – № 21 – 22. – Ст. 135.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35. Кодекс законів про працю України від 10.12.1971 № 322-VIII // Відомості Верховної Ради УРСР. – 1971. – № 50 – Ст. 375.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36. Про оплату праці. Закон України від 24.03.1995 № 108/95-ВР // Відомості Верховної Ради України. – 1995. – № 17. – Ст. 121.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37. Про відпустки. Закон України від 15.11.1996 № 504/96-ВР // Відомості Верховної Ради України. – 1997. – № 2. – Ст. 5.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38. Кримінальний кодекс України від 05.04.2001 № 2341-III // Відомості Верховної Ради України. – 2001. – № 25 – 26. – Ст. 131.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39. Про запобігання корупції. Закон України від 14.10.2014 р. № 1700-VII // Відомості Верховної Ради України – 2014. – № 49. – Ст. 2056.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40. Про національну поліцію. Закон України від 25.12.1990 № 565-ХІІ // Відомості Верховної Ради України. – 2015. – № 40-41. – Ст. 379.</w:t>
            </w:r>
          </w:p>
          <w:p w:rsidR="00566E2C" w:rsidRPr="00E17760" w:rsidRDefault="00566E2C" w:rsidP="00566E2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E1776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41. Про Службу безпеки України. Закон України від 25.03.1992 № 2229-ХІІ // Відомості Верховної Ради України. – 1992. – № 27. – Ст. 382.</w:t>
            </w:r>
          </w:p>
          <w:p w:rsidR="001C516A" w:rsidRPr="001C516A" w:rsidRDefault="001C516A" w:rsidP="001C516A">
            <w:pPr>
              <w:widowControl w:val="0"/>
              <w:tabs>
                <w:tab w:val="left" w:pos="0"/>
                <w:tab w:val="left" w:pos="284"/>
                <w:tab w:val="num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A37DF" w:rsidRPr="00C26D97" w:rsidRDefault="00DA37DF" w:rsidP="006740C0">
            <w:pPr>
              <w:tabs>
                <w:tab w:val="left" w:pos="14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D2B98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Інформаційні ресурси</w:t>
            </w:r>
          </w:p>
          <w:p w:rsidR="00DA37DF" w:rsidRPr="008D2B98" w:rsidRDefault="00DA37DF" w:rsidP="00AE0BE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Національна біб</w:t>
            </w:r>
            <w:r w:rsidR="00AE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ліотека імені В.І. Вернадського</w:t>
            </w:r>
            <w:r w:rsidRPr="008D2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8D2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http://www.nbuv.gov.ua/</w:t>
              </w:r>
            </w:hyperlink>
          </w:p>
          <w:p w:rsidR="00DA37DF" w:rsidRPr="008D2B98" w:rsidRDefault="00DA37DF" w:rsidP="006740C0">
            <w:pPr>
              <w:spacing w:after="0" w:line="288" w:lineRule="auto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</w:pPr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КНУБА:</w:t>
            </w:r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w:history="1">
              <w:r w:rsidRPr="008D2B98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http://library.knuba.edu.ua </w:t>
              </w:r>
            </w:hyperlink>
          </w:p>
          <w:p w:rsidR="00DA37DF" w:rsidRPr="008D2B98" w:rsidRDefault="00DA37DF" w:rsidP="006740C0">
            <w:pPr>
              <w:spacing w:after="0" w:line="288" w:lineRule="auto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AE0BE2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вебпортал</w:t>
            </w:r>
            <w:proofErr w:type="spellEnd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BE2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>Верховної Ради</w:t>
            </w:r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D2B98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8D2B98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https://zakon.rada.gov.ua/laws/main/groups</w:t>
              </w:r>
            </w:hyperlink>
          </w:p>
          <w:p w:rsidR="004A7B0C" w:rsidRPr="008D2B98" w:rsidRDefault="004A7B0C" w:rsidP="006740C0">
            <w:pPr>
              <w:spacing w:after="0" w:line="288" w:lineRule="auto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  <w:p w:rsidR="008A2815" w:rsidRPr="008A2815" w:rsidRDefault="00DA37DF" w:rsidP="001C5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8D2B98">
              <w:rPr>
                <w:rFonts w:ascii="Times New Roman" w:eastAsia="MS ??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1C8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  <w:t>19</w:t>
            </w:r>
            <w:r w:rsidR="008A2815" w:rsidRPr="008A28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  <w:t>) Система оцінювання навчальних досягнень (розподіл балів):</w:t>
            </w:r>
          </w:p>
          <w:tbl>
            <w:tblPr>
              <w:tblW w:w="473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1907"/>
              <w:gridCol w:w="1917"/>
            </w:tblGrid>
            <w:tr w:rsidR="005771A1" w:rsidRPr="008A2815" w:rsidTr="005771A1">
              <w:trPr>
                <w:cantSplit/>
                <w:trHeight w:val="478"/>
                <w:jc w:val="center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1A1" w:rsidRPr="005771A1" w:rsidRDefault="005771A1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lastRenderedPageBreak/>
                    <w:t>Поточне оцінювання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771A1" w:rsidRPr="005771A1" w:rsidRDefault="005771A1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Підсумкове тестування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71A1" w:rsidRPr="005771A1" w:rsidRDefault="005771A1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Сума</w:t>
                  </w:r>
                </w:p>
                <w:p w:rsidR="005771A1" w:rsidRPr="005771A1" w:rsidRDefault="005771A1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балів</w:t>
                  </w:r>
                </w:p>
              </w:tc>
            </w:tr>
            <w:tr w:rsidR="005771A1" w:rsidRPr="008A2815" w:rsidTr="005771A1">
              <w:trPr>
                <w:cantSplit/>
                <w:trHeight w:val="314"/>
                <w:jc w:val="center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771A1" w:rsidRDefault="005771A1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</w:p>
                <w:p w:rsidR="005771A1" w:rsidRPr="005771A1" w:rsidRDefault="00790D87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7</w:t>
                  </w:r>
                  <w:r w:rsidR="005771A1"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0</w:t>
                  </w:r>
                </w:p>
                <w:p w:rsidR="005771A1" w:rsidRPr="005771A1" w:rsidRDefault="005771A1" w:rsidP="00A46A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1A1" w:rsidRPr="005771A1" w:rsidRDefault="00790D87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3</w:t>
                  </w:r>
                  <w:r w:rsidR="005771A1"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0</w:t>
                  </w:r>
                </w:p>
              </w:tc>
              <w:tc>
                <w:tcPr>
                  <w:tcW w:w="108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71A1" w:rsidRPr="005771A1" w:rsidRDefault="005771A1" w:rsidP="005771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5771A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100</w:t>
                  </w:r>
                </w:p>
              </w:tc>
            </w:tr>
          </w:tbl>
          <w:p w:rsidR="008A2815" w:rsidRPr="008A2815" w:rsidRDefault="008A2815" w:rsidP="008A28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F24375" w:rsidRPr="00F24375">
              <w:trPr>
                <w:trHeight w:val="4244"/>
              </w:trPr>
              <w:tc>
                <w:tcPr>
                  <w:tcW w:w="0" w:type="auto"/>
                </w:tcPr>
                <w:p w:rsidR="00F24375" w:rsidRPr="00F24375" w:rsidRDefault="00F24375" w:rsidP="00CF6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20)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Умови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допуску до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контролю: </w:t>
                  </w:r>
                </w:p>
                <w:p w:rsidR="005633D3" w:rsidRPr="005633D3" w:rsidRDefault="005633D3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П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ід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час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заліку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засвоєння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студентом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навчального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матеріалу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оцінюється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підставі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результатів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поточного контролю (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поточного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опитування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завдань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певних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видів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робіт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практичних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семінарських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лабораторних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заняттях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протягом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семестру.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Т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ак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ий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вид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 не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передбач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ає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обов’язков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ої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присутн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ості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студент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а. </w:t>
                  </w:r>
                </w:p>
                <w:p w:rsidR="005633D3" w:rsidRPr="005633D3" w:rsidRDefault="005633D3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Умовою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допуску студента до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заліку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є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мінімальна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сума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яку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він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набрати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всіх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елементів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5633D3" w:rsidRPr="005633D3" w:rsidRDefault="005633D3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отримав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протягом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семестру 60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і більше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за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його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бажанням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може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бути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звільненим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від семестрового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контролю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5633D3" w:rsidRPr="005633D3" w:rsidRDefault="005633D3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Студенту,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підсумкову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оцінку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дисципліну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від 35 до 59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5633D3" w:rsidRPr="005633D3" w:rsidRDefault="005633D3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здав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та/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захистив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індивідуальне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або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не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вимог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робочої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програми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их модулях, не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допускається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контролю. В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цьому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виконати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визначене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змісту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відповідних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5633D3" w:rsidRDefault="005633D3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право на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опротестування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результатів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 (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апеляцію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Правила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подання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розгляду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апеляції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внутрішніми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документами КНУБА,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розміщені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сайті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КНУБА та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яких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доводиться до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студентів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 початку</w:t>
                  </w:r>
                  <w:proofErr w:type="gram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вивчення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5633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5633D3" w:rsidRDefault="005633D3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F24375" w:rsidRPr="00F24375" w:rsidRDefault="00F24375" w:rsidP="005633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21)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Політика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щодо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академічної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доброчесності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: </w:t>
                  </w:r>
                </w:p>
                <w:p w:rsidR="00F24375" w:rsidRPr="00F24375" w:rsidRDefault="00F24375" w:rsidP="00CF6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Тексти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індивідуальних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завдань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коли вони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виконуються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презентацій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формах)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перевіряються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Для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цілей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захисту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індивідуального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оригінальність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тексту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складати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менше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70%.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Виключення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становлять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випадки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зарахування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публікацій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здобувачів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матеріалах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конференціях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збірниках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вже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пройшли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перевірку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AE0BE2" w:rsidRDefault="00F24375" w:rsidP="00CF6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час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опитувань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проводяться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письмовій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заборонені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із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використанням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мобільних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девайсів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фактів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 боку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здобувача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отримує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інше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повторного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заняття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для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проходження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F24375" w:rsidRPr="00F24375" w:rsidRDefault="00F24375" w:rsidP="00CF6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2437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F24375" w:rsidRPr="00F24375" w:rsidRDefault="00F24375" w:rsidP="00CF6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22)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Посилання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сторінку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електронного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навчально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-методичного комплексу </w:t>
                  </w:r>
                  <w:proofErr w:type="spellStart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F2437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  <w:r w:rsidR="005771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hyperlink r:id="rId13" w:history="1">
                    <w:r w:rsidR="005771A1" w:rsidRPr="00CF67A6">
                      <w:rPr>
                        <w:rStyle w:val="aa"/>
                        <w:rFonts w:ascii="Times New Roman" w:hAnsi="Times New Roman" w:cs="Times New Roman"/>
                        <w:sz w:val="24"/>
                        <w:szCs w:val="24"/>
                        <w:lang w:val="uk-UA" w:eastAsia="ar-SA"/>
                      </w:rPr>
                      <w:t>http://org2.knuba.edu.ua</w:t>
                    </w:r>
                  </w:hyperlink>
                  <w:r w:rsidR="005771A1" w:rsidRPr="00CF67A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ar-SA"/>
                    </w:rPr>
                    <w:t xml:space="preserve"> /</w:t>
                  </w:r>
                </w:p>
              </w:tc>
            </w:tr>
          </w:tbl>
          <w:p w:rsidR="00F50A7C" w:rsidRPr="008D2B98" w:rsidRDefault="00787F8C" w:rsidP="00CF67A6">
            <w:pPr>
              <w:tabs>
                <w:tab w:val="left" w:pos="1843"/>
                <w:tab w:val="left" w:pos="1985"/>
              </w:tabs>
              <w:spacing w:after="0" w:line="240" w:lineRule="auto"/>
              <w:ind w:right="72" w:firstLine="35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D2B9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5771A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787F8C" w:rsidRPr="008D2B98" w:rsidRDefault="00787F8C" w:rsidP="00787F8C">
            <w:pPr>
              <w:tabs>
                <w:tab w:val="left" w:pos="1843"/>
                <w:tab w:val="left" w:pos="1985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E2676F" w:rsidRPr="005771A1" w:rsidRDefault="00E2676F" w:rsidP="00E2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76F" w:rsidRPr="005771A1" w:rsidSect="00BE375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87" w:rsidRDefault="004A7187" w:rsidP="00E2676F">
      <w:pPr>
        <w:spacing w:after="0" w:line="240" w:lineRule="auto"/>
      </w:pPr>
      <w:r>
        <w:separator/>
      </w:r>
    </w:p>
  </w:endnote>
  <w:endnote w:type="continuationSeparator" w:id="0">
    <w:p w:rsidR="004A7187" w:rsidRDefault="004A7187" w:rsidP="00E2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49301"/>
      <w:docPartObj>
        <w:docPartGallery w:val="Page Numbers (Bottom of Page)"/>
        <w:docPartUnique/>
      </w:docPartObj>
    </w:sdtPr>
    <w:sdtEndPr/>
    <w:sdtContent>
      <w:p w:rsidR="00AE0BE2" w:rsidRDefault="00AE0B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B5">
          <w:rPr>
            <w:noProof/>
          </w:rPr>
          <w:t>8</w:t>
        </w:r>
        <w:r>
          <w:fldChar w:fldCharType="end"/>
        </w:r>
      </w:p>
    </w:sdtContent>
  </w:sdt>
  <w:p w:rsidR="00AE0BE2" w:rsidRDefault="00AE0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87" w:rsidRDefault="004A7187" w:rsidP="00E2676F">
      <w:pPr>
        <w:spacing w:after="0" w:line="240" w:lineRule="auto"/>
      </w:pPr>
      <w:r>
        <w:separator/>
      </w:r>
    </w:p>
  </w:footnote>
  <w:footnote w:type="continuationSeparator" w:id="0">
    <w:p w:rsidR="004A7187" w:rsidRDefault="004A7187" w:rsidP="00E2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E2" w:rsidRPr="003E7D91" w:rsidRDefault="00AE0BE2">
    <w:pPr>
      <w:pStyle w:val="a3"/>
      <w:rPr>
        <w:rFonts w:ascii="Times New Roman" w:hAnsi="Times New Roman" w:cs="Times New Roman"/>
        <w:lang w:val="uk-UA"/>
      </w:rPr>
    </w:pPr>
    <w:r w:rsidRPr="003E7D91">
      <w:rPr>
        <w:rFonts w:ascii="Times New Roman" w:hAnsi="Times New Roman" w:cs="Times New Roman"/>
        <w:lang w:val="uk-UA"/>
      </w:rPr>
      <w:t>Київський національний університет</w:t>
    </w:r>
    <w:r w:rsidR="004B73B0">
      <w:rPr>
        <w:rFonts w:ascii="Times New Roman" w:hAnsi="Times New Roman" w:cs="Times New Roman"/>
        <w:lang w:val="uk-UA"/>
      </w:rPr>
      <w:t xml:space="preserve">                                                 </w:t>
    </w:r>
    <w:r w:rsidR="004B73B0" w:rsidRPr="003E7D91">
      <w:rPr>
        <w:rFonts w:ascii="Times New Roman" w:hAnsi="Times New Roman" w:cs="Times New Roman"/>
        <w:lang w:val="uk-UA"/>
      </w:rPr>
      <w:t>1</w:t>
    </w:r>
    <w:r w:rsidR="004B73B0">
      <w:rPr>
        <w:rFonts w:ascii="Times New Roman" w:hAnsi="Times New Roman" w:cs="Times New Roman"/>
        <w:lang w:val="uk-UA"/>
      </w:rPr>
      <w:t>41</w:t>
    </w:r>
    <w:r w:rsidR="004B73B0" w:rsidRPr="003E7D91">
      <w:rPr>
        <w:rFonts w:ascii="Times New Roman" w:hAnsi="Times New Roman" w:cs="Times New Roman"/>
        <w:lang w:val="uk-UA"/>
      </w:rPr>
      <w:t xml:space="preserve"> </w:t>
    </w:r>
    <w:r w:rsidR="004B73B0" w:rsidRPr="003E4812">
      <w:rPr>
        <w:rFonts w:ascii="Times New Roman" w:hAnsi="Times New Roman" w:cs="Times New Roman"/>
        <w:lang w:val="uk-UA"/>
      </w:rPr>
      <w:t xml:space="preserve"> «Електроенергетика, </w:t>
    </w:r>
    <w:r w:rsidR="004B73B0">
      <w:rPr>
        <w:rFonts w:ascii="Times New Roman" w:hAnsi="Times New Roman" w:cs="Times New Roman"/>
        <w:lang w:val="uk-UA"/>
      </w:rPr>
      <w:t xml:space="preserve">                 </w:t>
    </w:r>
  </w:p>
  <w:p w:rsidR="00032FE3" w:rsidRPr="003E4812" w:rsidRDefault="00AE0BE2" w:rsidP="004B73B0">
    <w:pPr>
      <w:spacing w:before="40" w:after="40" w:line="240" w:lineRule="auto"/>
      <w:jc w:val="right"/>
      <w:rPr>
        <w:rFonts w:ascii="Times New Roman" w:hAnsi="Times New Roman" w:cs="Times New Roman"/>
        <w:sz w:val="24"/>
        <w:szCs w:val="24"/>
        <w:lang w:val="uk-UA"/>
      </w:rPr>
    </w:pPr>
    <w:r w:rsidRPr="003E7D91">
      <w:rPr>
        <w:rFonts w:ascii="Times New Roman" w:hAnsi="Times New Roman" w:cs="Times New Roman"/>
        <w:lang w:val="uk-UA"/>
      </w:rPr>
      <w:t xml:space="preserve">будівництва і архітектури   </w:t>
    </w:r>
    <w:r w:rsidR="004B73B0">
      <w:rPr>
        <w:rFonts w:ascii="Times New Roman" w:hAnsi="Times New Roman" w:cs="Times New Roman"/>
        <w:lang w:val="uk-UA"/>
      </w:rPr>
      <w:t xml:space="preserve">           </w:t>
    </w:r>
    <w:r w:rsidRPr="003E7D91">
      <w:rPr>
        <w:rFonts w:ascii="Times New Roman" w:hAnsi="Times New Roman" w:cs="Times New Roman"/>
        <w:lang w:val="uk-UA"/>
      </w:rPr>
      <w:t xml:space="preserve">                                  </w:t>
    </w:r>
    <w:r w:rsidR="00032FE3">
      <w:rPr>
        <w:rFonts w:ascii="Times New Roman" w:hAnsi="Times New Roman" w:cs="Times New Roman"/>
        <w:lang w:val="uk-UA"/>
      </w:rPr>
      <w:t xml:space="preserve">                   </w:t>
    </w:r>
    <w:r w:rsidR="004B73B0">
      <w:rPr>
        <w:rFonts w:ascii="Times New Roman" w:hAnsi="Times New Roman" w:cs="Times New Roman"/>
        <w:lang w:val="uk-UA"/>
      </w:rPr>
      <w:t xml:space="preserve">                              </w:t>
    </w:r>
    <w:r w:rsidR="00032FE3" w:rsidRPr="003E4812">
      <w:rPr>
        <w:rFonts w:ascii="Times New Roman" w:hAnsi="Times New Roman" w:cs="Times New Roman"/>
        <w:sz w:val="24"/>
        <w:szCs w:val="24"/>
        <w:lang w:val="uk-UA"/>
      </w:rPr>
      <w:t xml:space="preserve">електротехніка </w:t>
    </w:r>
    <w:r w:rsidR="00032FE3">
      <w:rPr>
        <w:rFonts w:ascii="Times New Roman" w:hAnsi="Times New Roman" w:cs="Times New Roman"/>
        <w:sz w:val="24"/>
        <w:szCs w:val="24"/>
        <w:lang w:val="uk-UA"/>
      </w:rPr>
      <w:t xml:space="preserve">     </w:t>
    </w:r>
    <w:r w:rsidR="004B73B0">
      <w:rPr>
        <w:rFonts w:ascii="Times New Roman" w:hAnsi="Times New Roman" w:cs="Times New Roman"/>
        <w:sz w:val="24"/>
        <w:szCs w:val="24"/>
        <w:lang w:val="uk-UA"/>
      </w:rPr>
      <w:t xml:space="preserve">  </w:t>
    </w:r>
    <w:r w:rsidR="004B73B0">
      <w:rPr>
        <w:rFonts w:ascii="Times New Roman" w:hAnsi="Times New Roman" w:cs="Times New Roman"/>
        <w:lang w:val="uk-UA"/>
      </w:rPr>
      <w:t xml:space="preserve">та </w:t>
    </w:r>
    <w:r w:rsidR="004B73B0" w:rsidRPr="003E4812">
      <w:rPr>
        <w:rFonts w:ascii="Times New Roman" w:hAnsi="Times New Roman" w:cs="Times New Roman"/>
        <w:sz w:val="24"/>
        <w:szCs w:val="24"/>
        <w:lang w:val="uk-UA"/>
      </w:rPr>
      <w:t>електромеханіка»</w:t>
    </w:r>
  </w:p>
  <w:p w:rsidR="004B73B0" w:rsidRPr="003E7D91" w:rsidRDefault="004B73B0" w:rsidP="004B73B0">
    <w:pPr>
      <w:pStyle w:val="a3"/>
      <w:rPr>
        <w:rFonts w:ascii="Times New Roman" w:hAnsi="Times New Roman" w:cs="Times New Roman"/>
      </w:rPr>
    </w:pPr>
    <w:r w:rsidRPr="003E7D91">
      <w:rPr>
        <w:rFonts w:ascii="Times New Roman" w:hAnsi="Times New Roman" w:cs="Times New Roman"/>
        <w:lang w:val="uk-UA"/>
      </w:rPr>
      <w:t xml:space="preserve">Кафедра ТЗНС та </w:t>
    </w:r>
    <w:r>
      <w:rPr>
        <w:rFonts w:ascii="Times New Roman" w:hAnsi="Times New Roman" w:cs="Times New Roman"/>
        <w:lang w:val="uk-UA"/>
      </w:rPr>
      <w:t>О</w:t>
    </w:r>
    <w:r w:rsidRPr="003E7D91">
      <w:rPr>
        <w:rFonts w:ascii="Times New Roman" w:hAnsi="Times New Roman" w:cs="Times New Roman"/>
        <w:lang w:val="uk-UA"/>
      </w:rPr>
      <w:t>П__________________________________________________________</w:t>
    </w:r>
    <w:r>
      <w:rPr>
        <w:rFonts w:ascii="Times New Roman" w:hAnsi="Times New Roman" w:cs="Times New Roman"/>
        <w:lang w:val="uk-UA"/>
      </w:rPr>
      <w:t>_</w:t>
    </w:r>
  </w:p>
  <w:p w:rsidR="00AE0BE2" w:rsidRPr="003E7D91" w:rsidRDefault="004B73B0" w:rsidP="004B73B0">
    <w:pPr>
      <w:pStyle w:val="a3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                                                                                                              </w:t>
    </w:r>
  </w:p>
  <w:p w:rsidR="00AE0BE2" w:rsidRDefault="00AE0B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1"/>
    <w:multiLevelType w:val="singleLevel"/>
    <w:tmpl w:val="00000051"/>
    <w:name w:val="WW8Num9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CB2B82"/>
    <w:multiLevelType w:val="hybridMultilevel"/>
    <w:tmpl w:val="90BC0340"/>
    <w:lvl w:ilvl="0" w:tplc="71F65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F"/>
    <w:rsid w:val="00032FE3"/>
    <w:rsid w:val="00070056"/>
    <w:rsid w:val="000D1635"/>
    <w:rsid w:val="000F3D8B"/>
    <w:rsid w:val="0012353E"/>
    <w:rsid w:val="001C516A"/>
    <w:rsid w:val="001D6D98"/>
    <w:rsid w:val="0024476D"/>
    <w:rsid w:val="002D02B7"/>
    <w:rsid w:val="002E7F78"/>
    <w:rsid w:val="00353969"/>
    <w:rsid w:val="00373AD8"/>
    <w:rsid w:val="003E4812"/>
    <w:rsid w:val="003E7D91"/>
    <w:rsid w:val="003F0ABE"/>
    <w:rsid w:val="0041358C"/>
    <w:rsid w:val="00450609"/>
    <w:rsid w:val="00470816"/>
    <w:rsid w:val="004A7187"/>
    <w:rsid w:val="004A7B0C"/>
    <w:rsid w:val="004B73B0"/>
    <w:rsid w:val="00507131"/>
    <w:rsid w:val="00524863"/>
    <w:rsid w:val="00541D42"/>
    <w:rsid w:val="005633D3"/>
    <w:rsid w:val="00566E2C"/>
    <w:rsid w:val="005771A1"/>
    <w:rsid w:val="005C7EB5"/>
    <w:rsid w:val="005E65FD"/>
    <w:rsid w:val="006004F3"/>
    <w:rsid w:val="006341D7"/>
    <w:rsid w:val="00671C8D"/>
    <w:rsid w:val="006740C0"/>
    <w:rsid w:val="006A01EA"/>
    <w:rsid w:val="006E0967"/>
    <w:rsid w:val="00787F8C"/>
    <w:rsid w:val="00790D87"/>
    <w:rsid w:val="007B1D9E"/>
    <w:rsid w:val="007C5BF9"/>
    <w:rsid w:val="0081039A"/>
    <w:rsid w:val="008716D9"/>
    <w:rsid w:val="008A2815"/>
    <w:rsid w:val="008B6F96"/>
    <w:rsid w:val="008D2B98"/>
    <w:rsid w:val="008F08A7"/>
    <w:rsid w:val="009733FB"/>
    <w:rsid w:val="009E5496"/>
    <w:rsid w:val="009F7CC4"/>
    <w:rsid w:val="00A46A35"/>
    <w:rsid w:val="00A54DD3"/>
    <w:rsid w:val="00AE0BE2"/>
    <w:rsid w:val="00AF2997"/>
    <w:rsid w:val="00B104AA"/>
    <w:rsid w:val="00B147B1"/>
    <w:rsid w:val="00B7675D"/>
    <w:rsid w:val="00BE3753"/>
    <w:rsid w:val="00C03883"/>
    <w:rsid w:val="00C26D97"/>
    <w:rsid w:val="00C27966"/>
    <w:rsid w:val="00C32ECD"/>
    <w:rsid w:val="00C6143C"/>
    <w:rsid w:val="00CF67A6"/>
    <w:rsid w:val="00D07201"/>
    <w:rsid w:val="00D80D62"/>
    <w:rsid w:val="00D92603"/>
    <w:rsid w:val="00DA37DF"/>
    <w:rsid w:val="00DB1000"/>
    <w:rsid w:val="00E04CEF"/>
    <w:rsid w:val="00E0522E"/>
    <w:rsid w:val="00E2676F"/>
    <w:rsid w:val="00EB36EB"/>
    <w:rsid w:val="00EB768C"/>
    <w:rsid w:val="00EE7F6A"/>
    <w:rsid w:val="00EF52AB"/>
    <w:rsid w:val="00F24375"/>
    <w:rsid w:val="00F50A7C"/>
    <w:rsid w:val="00F76609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812B98-4346-4DBF-AF80-418790B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6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676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676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2676F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E2676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2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A37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F08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771A1"/>
    <w:rPr>
      <w:color w:val="0563C1" w:themeColor="hyperlink"/>
      <w:u w:val="single"/>
    </w:rPr>
  </w:style>
  <w:style w:type="paragraph" w:customStyle="1" w:styleId="Default">
    <w:name w:val="Default"/>
    <w:rsid w:val="00244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rg2.knuba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main/grou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uv.gov.u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brary.knuba.edu.ua/books/9_1_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nuba.edu.ua/petrenko-d-v-%ef%bf%b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6363-E0CE-4502-B325-8ABAC285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40</cp:revision>
  <dcterms:created xsi:type="dcterms:W3CDTF">2021-09-03T09:44:00Z</dcterms:created>
  <dcterms:modified xsi:type="dcterms:W3CDTF">2023-02-13T19:54:00Z</dcterms:modified>
</cp:coreProperties>
</file>