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24" w:rsidRPr="00950F7A" w:rsidRDefault="00AF1C24" w:rsidP="00AF1C24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right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4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8D246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Перший (бакалаврський) рівень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Кафедра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технологій захисту навколишнього середовища та охорони праці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D246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         «</w:t>
      </w:r>
      <w:r w:rsidRPr="008D2465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ЗАТВЕРДЖУЮ</w:t>
      </w:r>
      <w:r w:rsidRPr="008D246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</w:pPr>
      <w:r w:rsidRPr="008D2465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Декан </w:t>
      </w:r>
      <w:r w:rsidR="002226A3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будівельно-технологічного </w:t>
      </w:r>
      <w:r w:rsidRPr="008D2465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факультету </w:t>
      </w:r>
      <w:r w:rsidR="002226A3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 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</w:p>
    <w:p w:rsidR="00AF1C24" w:rsidRPr="008D2465" w:rsidRDefault="006E6D05" w:rsidP="00AF1C24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______________</w:t>
      </w:r>
      <w:r w:rsidR="00AF1C24" w:rsidRPr="008D246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/</w:t>
      </w:r>
      <w:r w:rsidR="002226A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Володимир ГОЦ</w:t>
      </w:r>
      <w:r w:rsidR="00AF1C24" w:rsidRPr="008D246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/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z w:val="20"/>
          <w:szCs w:val="24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«____» _____________ 2022 </w:t>
      </w:r>
      <w:r w:rsidRPr="008D2465">
        <w:rPr>
          <w:rFonts w:ascii="Times New Roman" w:eastAsia="Calibri" w:hAnsi="Times New Roman" w:cs="Times New Roman"/>
          <w:sz w:val="20"/>
          <w:szCs w:val="24"/>
          <w:lang w:val="uk-UA" w:eastAsia="uk-UA"/>
        </w:rPr>
        <w:t>року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>РОБОЧА ПРОГРАМА ОСВІТНЬОЇ КОМПОНЕНТИ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F1C24" w:rsidRPr="00627253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253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Правознавство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  <w:r w:rsidRPr="008D2465">
        <w:rPr>
          <w:rFonts w:ascii="Times New Roman" w:eastAsia="Calibri" w:hAnsi="Times New Roman" w:cs="Times New Roman"/>
          <w:sz w:val="18"/>
          <w:szCs w:val="28"/>
          <w:lang w:val="uk-UA" w:eastAsia="ru-RU"/>
        </w:rPr>
        <w:t>(назва освітньої компоненти)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582"/>
      </w:tblGrid>
      <w:tr w:rsidR="00AF1C24" w:rsidRPr="008D2465" w:rsidTr="00AF1C24">
        <w:trPr>
          <w:trHeight w:val="322"/>
        </w:trPr>
        <w:tc>
          <w:tcPr>
            <w:tcW w:w="821" w:type="dxa"/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D246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D246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</w:p>
        </w:tc>
      </w:tr>
      <w:tr w:rsidR="00AF1C24" w:rsidRPr="008D2465" w:rsidTr="00AF1C24">
        <w:trPr>
          <w:trHeight w:val="322"/>
        </w:trPr>
        <w:tc>
          <w:tcPr>
            <w:tcW w:w="821" w:type="dxa"/>
          </w:tcPr>
          <w:p w:rsidR="00AF1C24" w:rsidRPr="00AF1C24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075</w:t>
            </w:r>
          </w:p>
        </w:tc>
        <w:tc>
          <w:tcPr>
            <w:tcW w:w="8805" w:type="dxa"/>
          </w:tcPr>
          <w:p w:rsidR="00AF1C24" w:rsidRPr="00AF1C24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AF1C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F1C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Маркетинг</w:t>
            </w:r>
          </w:p>
        </w:tc>
      </w:tr>
    </w:tbl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AF1C24" w:rsidRPr="008D2465" w:rsidTr="00AF1C24">
        <w:trPr>
          <w:trHeight w:val="297"/>
        </w:trPr>
        <w:tc>
          <w:tcPr>
            <w:tcW w:w="5000" w:type="pct"/>
            <w:gridSpan w:val="2"/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D246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 w:rsidR="00AF1C24" w:rsidRPr="008D2465" w:rsidTr="00AF1C24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Петренко Д.В.</w:t>
            </w:r>
            <w:r w:rsidRPr="008D24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ст.викладач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AF1C24" w:rsidRPr="008D2465" w:rsidTr="00AF1C24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8D2465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8D2465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AF1C24" w:rsidRPr="008D2465" w:rsidTr="00AF1C24">
        <w:tc>
          <w:tcPr>
            <w:tcW w:w="3692" w:type="pct"/>
            <w:tcBorders>
              <w:bottom w:val="nil"/>
            </w:tcBorders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AF1C24" w:rsidRPr="008D2465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</w:tbl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Робоча програма затверджена на засіданні кафедри технологій захисту навколишнього середовища та охорони праці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F1C24" w:rsidRPr="008D2465" w:rsidRDefault="00AF1C24" w:rsidP="00AF1C24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11</w:t>
      </w:r>
      <w:r w:rsidRPr="008D2465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від «29» червня 2022 року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F1C24" w:rsidRPr="008D2465" w:rsidRDefault="00AF1C24" w:rsidP="00AF1C24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ТЗНС та ОП 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/Тетяна ТКАЧЕНКО/</w:t>
      </w:r>
    </w:p>
    <w:p w:rsidR="00AF1C24" w:rsidRPr="008D2465" w:rsidRDefault="00AF1C24" w:rsidP="00AF1C2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                                                                        (підпис)</w:t>
      </w:r>
      <w:r w:rsidRPr="008D24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right="2028"/>
        <w:contextualSpacing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Схвалено гарантом освітньої програми </w:t>
      </w:r>
      <w:r w:rsidRPr="008D246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Маркетинг</w:t>
      </w:r>
      <w:r w:rsidRPr="008D246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F1C24" w:rsidRPr="008D2465" w:rsidRDefault="00AF1C24" w:rsidP="00AF1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18"/>
          <w:szCs w:val="18"/>
          <w:lang w:val="uk-UA" w:eastAsia="uk-UA"/>
        </w:rPr>
      </w:pPr>
    </w:p>
    <w:p w:rsidR="00AF1C24" w:rsidRPr="008D2465" w:rsidRDefault="00AF1C24" w:rsidP="00AF1C24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Гарант ОП                           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</w:t>
      </w:r>
      <w:r w:rsidRPr="001C533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Ольга ВОТЧЕН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1C533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КОВА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</w:t>
      </w:r>
    </w:p>
    <w:p w:rsidR="00AF1C24" w:rsidRPr="008D2465" w:rsidRDefault="00AF1C24" w:rsidP="00AF1C2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                                                                (підпис)</w:t>
      </w:r>
      <w:r w:rsidRPr="008D24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AF1C24" w:rsidRPr="008D2465" w:rsidRDefault="00AF1C24" w:rsidP="00AF1C24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Розглянуто на засіданні науково-методичної комісії спеціальності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075 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Маркетинг</w:t>
      </w:r>
      <w:r w:rsidRPr="008D246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</w:p>
    <w:p w:rsidR="00AF1C24" w:rsidRPr="008D246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i/>
          <w:sz w:val="24"/>
          <w:szCs w:val="24"/>
          <w:lang w:eastAsia="ru-RU"/>
        </w:rPr>
      </w:pP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6 від «</w:t>
      </w:r>
      <w:r w:rsidR="006E6D05">
        <w:rPr>
          <w:rFonts w:ascii="Times New Roman" w:eastAsia="Calibri" w:hAnsi="Times New Roman" w:cs="Times New Roman"/>
          <w:bCs/>
          <w:i/>
          <w:sz w:val="28"/>
          <w:szCs w:val="28"/>
          <w:lang w:val="en-US" w:eastAsia="uk-UA"/>
        </w:rPr>
        <w:t xml:space="preserve">       </w:t>
      </w:r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» </w:t>
      </w:r>
      <w:r w:rsidR="006E6D05">
        <w:rPr>
          <w:rFonts w:ascii="Times New Roman" w:eastAsia="Calibri" w:hAnsi="Times New Roman" w:cs="Times New Roman"/>
          <w:bCs/>
          <w:i/>
          <w:sz w:val="28"/>
          <w:szCs w:val="28"/>
          <w:lang w:val="en-US" w:eastAsia="uk-UA"/>
        </w:rPr>
        <w:t>___________</w:t>
      </w:r>
      <w:bookmarkStart w:id="0" w:name="_GoBack"/>
      <w:bookmarkEnd w:id="0"/>
      <w:r w:rsidRPr="008D2465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 2022 року</w:t>
      </w:r>
    </w:p>
    <w:p w:rsidR="00AF1C24" w:rsidRPr="008D246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AF1C24" w:rsidRPr="00950F7A" w:rsidRDefault="00AF1C24" w:rsidP="00AF1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  <w:sectPr w:rsidR="00AF1C24" w:rsidRPr="00950F7A" w:rsidSect="00AF1C24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AF1C24" w:rsidRDefault="00AF1C24" w:rsidP="00AF1C24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950F7A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lastRenderedPageBreak/>
        <w:t>ВИТЯГ З РОБОЧОГО НАВЧАЛЬНОГО ПЛАНУ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 xml:space="preserve"> </w:t>
      </w:r>
    </w:p>
    <w:p w:rsidR="00AF1C24" w:rsidRPr="00950F7A" w:rsidRDefault="00AF1C24" w:rsidP="00AF1C24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>на 2022-2023 навч.роки</w:t>
      </w:r>
    </w:p>
    <w:p w:rsidR="00AF1C24" w:rsidRPr="00950F7A" w:rsidRDefault="00AF1C24" w:rsidP="00AF1C24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3860"/>
        <w:gridCol w:w="591"/>
        <w:gridCol w:w="635"/>
        <w:gridCol w:w="635"/>
        <w:gridCol w:w="577"/>
        <w:gridCol w:w="611"/>
        <w:gridCol w:w="529"/>
        <w:gridCol w:w="655"/>
        <w:gridCol w:w="627"/>
        <w:gridCol w:w="614"/>
        <w:gridCol w:w="690"/>
        <w:gridCol w:w="885"/>
        <w:gridCol w:w="638"/>
        <w:gridCol w:w="635"/>
        <w:gridCol w:w="1470"/>
      </w:tblGrid>
      <w:tr w:rsidR="00AF1C24" w:rsidRPr="00950F7A" w:rsidTr="00AF1C24">
        <w:tc>
          <w:tcPr>
            <w:tcW w:w="949" w:type="dxa"/>
            <w:vMerge w:val="restart"/>
            <w:textDirection w:val="btLr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950F7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AF1C24" w:rsidRPr="00950F7A" w:rsidTr="00AF1C24">
        <w:tc>
          <w:tcPr>
            <w:tcW w:w="949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Обсяг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950F7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1C24" w:rsidRPr="00950F7A" w:rsidTr="00AF1C24">
        <w:tc>
          <w:tcPr>
            <w:tcW w:w="949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1C24" w:rsidRPr="00950F7A" w:rsidTr="00AF1C24">
        <w:tc>
          <w:tcPr>
            <w:tcW w:w="949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50F7A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1C24" w:rsidRPr="00950F7A" w:rsidTr="00AF1C24">
        <w:trPr>
          <w:trHeight w:val="856"/>
        </w:trPr>
        <w:tc>
          <w:tcPr>
            <w:tcW w:w="949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</w:p>
        </w:tc>
        <w:tc>
          <w:tcPr>
            <w:tcW w:w="529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31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Конт.</w:t>
            </w:r>
          </w:p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50F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F1C24" w:rsidRPr="00950F7A" w:rsidTr="00AF1C24">
        <w:tc>
          <w:tcPr>
            <w:tcW w:w="949" w:type="dxa"/>
          </w:tcPr>
          <w:p w:rsidR="00AF1C24" w:rsidRPr="00950F7A" w:rsidRDefault="001C533C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ОК </w:t>
            </w:r>
            <w:r w:rsidR="00AF1C24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</w:tc>
        <w:tc>
          <w:tcPr>
            <w:tcW w:w="4266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5</w:t>
            </w:r>
          </w:p>
        </w:tc>
        <w:tc>
          <w:tcPr>
            <w:tcW w:w="642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150</w:t>
            </w:r>
          </w:p>
        </w:tc>
        <w:tc>
          <w:tcPr>
            <w:tcW w:w="642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80</w:t>
            </w:r>
          </w:p>
        </w:tc>
        <w:tc>
          <w:tcPr>
            <w:tcW w:w="606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40</w:t>
            </w:r>
          </w:p>
        </w:tc>
        <w:tc>
          <w:tcPr>
            <w:tcW w:w="625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40</w:t>
            </w:r>
          </w:p>
        </w:tc>
        <w:tc>
          <w:tcPr>
            <w:tcW w:w="312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70</w:t>
            </w:r>
          </w:p>
        </w:tc>
        <w:tc>
          <w:tcPr>
            <w:tcW w:w="632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46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AF1C24" w:rsidRPr="00950F7A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Екз.</w:t>
            </w:r>
          </w:p>
        </w:tc>
        <w:tc>
          <w:tcPr>
            <w:tcW w:w="642" w:type="dxa"/>
            <w:vAlign w:val="center"/>
          </w:tcPr>
          <w:p w:rsidR="00AF1C24" w:rsidRPr="00AF1C24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1</w:t>
            </w:r>
          </w:p>
        </w:tc>
        <w:tc>
          <w:tcPr>
            <w:tcW w:w="1482" w:type="dxa"/>
            <w:vAlign w:val="center"/>
          </w:tcPr>
          <w:p w:rsidR="00AF1C24" w:rsidRPr="00950F7A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F1C24" w:rsidRPr="001B6CA5" w:rsidRDefault="00AF1C24" w:rsidP="00AF1C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203"/>
        <w:gridCol w:w="705"/>
        <w:gridCol w:w="705"/>
        <w:gridCol w:w="705"/>
        <w:gridCol w:w="555"/>
        <w:gridCol w:w="588"/>
        <w:gridCol w:w="529"/>
        <w:gridCol w:w="775"/>
        <w:gridCol w:w="619"/>
        <w:gridCol w:w="595"/>
        <w:gridCol w:w="690"/>
        <w:gridCol w:w="885"/>
        <w:gridCol w:w="724"/>
        <w:gridCol w:w="705"/>
        <w:gridCol w:w="1741"/>
      </w:tblGrid>
      <w:tr w:rsidR="00AF1C24" w:rsidRPr="001B6CA5" w:rsidTr="00AF1C24">
        <w:tc>
          <w:tcPr>
            <w:tcW w:w="835" w:type="dxa"/>
            <w:vMerge w:val="restart"/>
            <w:textDirection w:val="btLr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 xml:space="preserve"> шифр</w:t>
            </w:r>
          </w:p>
        </w:tc>
        <w:tc>
          <w:tcPr>
            <w:tcW w:w="3203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351" w:type="dxa"/>
            <w:gridSpan w:val="11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Форма навчання: </w:t>
            </w:r>
            <w:r w:rsidRPr="001B6CA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                          </w:t>
            </w:r>
            <w:r w:rsidRPr="001B6C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="001B6CA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аочна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Форма контролю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eastAsia="ru-RU"/>
              </w:rPr>
              <w:t>Семестр</w:t>
            </w:r>
          </w:p>
        </w:tc>
        <w:tc>
          <w:tcPr>
            <w:tcW w:w="1741" w:type="dxa"/>
            <w:vMerge w:val="restart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Відмітка про погодження заступником декана факультету</w:t>
            </w:r>
          </w:p>
        </w:tc>
      </w:tr>
      <w:tr w:rsidR="00AF1C24" w:rsidRPr="001B6CA5" w:rsidTr="00AF1C24">
        <w:tc>
          <w:tcPr>
            <w:tcW w:w="83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3" w:type="dxa"/>
            <w:vMerge w:val="restart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Назва спеціальності, освітньої програми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Кредитів</w:t>
            </w:r>
            <w:r w:rsidRPr="001B6CA5">
              <w:rPr>
                <w:rFonts w:ascii="Times New Roman" w:eastAsia="Calibri" w:hAnsi="Times New Roman" w:cs="Times New Roman"/>
                <w:lang w:eastAsia="ru-RU"/>
              </w:rPr>
              <w:t xml:space="preserve"> на сем.</w:t>
            </w:r>
          </w:p>
        </w:tc>
        <w:tc>
          <w:tcPr>
            <w:tcW w:w="3857" w:type="dxa"/>
            <w:gridSpan w:val="6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eastAsia="ru-RU"/>
              </w:rPr>
              <w:t>Обсяг годин</w:t>
            </w:r>
          </w:p>
        </w:tc>
        <w:tc>
          <w:tcPr>
            <w:tcW w:w="2789" w:type="dxa"/>
            <w:gridSpan w:val="4"/>
            <w:vMerge w:val="restart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Кількість</w:t>
            </w:r>
            <w:r w:rsidRPr="001B6C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індивідуальних робіт</w:t>
            </w:r>
          </w:p>
        </w:tc>
        <w:tc>
          <w:tcPr>
            <w:tcW w:w="724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41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AF1C24" w:rsidRPr="001B6CA5" w:rsidTr="00AF1C24">
        <w:tc>
          <w:tcPr>
            <w:tcW w:w="83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203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2377" w:type="dxa"/>
            <w:gridSpan w:val="4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аудиторних</w:t>
            </w:r>
          </w:p>
        </w:tc>
        <w:tc>
          <w:tcPr>
            <w:tcW w:w="775" w:type="dxa"/>
            <w:vMerge w:val="restart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Сам.</w:t>
            </w:r>
          </w:p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роб.</w:t>
            </w:r>
          </w:p>
        </w:tc>
        <w:tc>
          <w:tcPr>
            <w:tcW w:w="2789" w:type="dxa"/>
            <w:gridSpan w:val="4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41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AF1C24" w:rsidRPr="001B6CA5" w:rsidTr="00AF1C24">
        <w:tc>
          <w:tcPr>
            <w:tcW w:w="83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203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eastAsia="ru-RU"/>
              </w:rPr>
              <w:t>Разом</w:t>
            </w:r>
          </w:p>
        </w:tc>
        <w:tc>
          <w:tcPr>
            <w:tcW w:w="1672" w:type="dxa"/>
            <w:gridSpan w:val="3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у тому числі</w:t>
            </w:r>
          </w:p>
        </w:tc>
        <w:tc>
          <w:tcPr>
            <w:tcW w:w="77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789" w:type="dxa"/>
            <w:gridSpan w:val="4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24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41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AF1C24" w:rsidRPr="001B6CA5" w:rsidTr="00AF1C24">
        <w:trPr>
          <w:trHeight w:val="856"/>
        </w:trPr>
        <w:tc>
          <w:tcPr>
            <w:tcW w:w="83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203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555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Л</w:t>
            </w:r>
          </w:p>
        </w:tc>
        <w:tc>
          <w:tcPr>
            <w:tcW w:w="588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Лр</w:t>
            </w:r>
          </w:p>
        </w:tc>
        <w:tc>
          <w:tcPr>
            <w:tcW w:w="529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Пз</w:t>
            </w:r>
          </w:p>
        </w:tc>
        <w:tc>
          <w:tcPr>
            <w:tcW w:w="77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619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КП</w:t>
            </w:r>
          </w:p>
        </w:tc>
        <w:tc>
          <w:tcPr>
            <w:tcW w:w="595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Конт.</w:t>
            </w:r>
          </w:p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B6CA5">
              <w:rPr>
                <w:rFonts w:ascii="Times New Roman" w:eastAsia="Calibri" w:hAnsi="Times New Roman" w:cs="Times New Roman"/>
                <w:lang w:val="uk-UA" w:eastAsia="ru-RU"/>
              </w:rPr>
              <w:t>роб</w:t>
            </w:r>
          </w:p>
        </w:tc>
        <w:tc>
          <w:tcPr>
            <w:tcW w:w="724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41" w:type="dxa"/>
            <w:vMerge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AF1C24" w:rsidRPr="001B6CA5" w:rsidTr="00AF1C24">
        <w:tc>
          <w:tcPr>
            <w:tcW w:w="835" w:type="dxa"/>
          </w:tcPr>
          <w:p w:rsidR="00AF1C24" w:rsidRPr="002226A3" w:rsidRDefault="001C533C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226A3">
              <w:rPr>
                <w:rFonts w:ascii="Times New Roman" w:eastAsia="Calibri" w:hAnsi="Times New Roman" w:cs="Times New Roman"/>
                <w:lang w:val="uk-UA" w:eastAsia="ru-RU"/>
              </w:rPr>
              <w:t xml:space="preserve">ОК </w:t>
            </w:r>
            <w:r w:rsidR="00AF1C24" w:rsidRPr="002226A3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</w:tc>
        <w:tc>
          <w:tcPr>
            <w:tcW w:w="3203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226A3"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705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 w:rsidRPr="002226A3"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>5</w:t>
            </w:r>
          </w:p>
        </w:tc>
        <w:tc>
          <w:tcPr>
            <w:tcW w:w="705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 w:rsidRPr="002226A3"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>150</w:t>
            </w:r>
          </w:p>
        </w:tc>
        <w:tc>
          <w:tcPr>
            <w:tcW w:w="705" w:type="dxa"/>
            <w:vAlign w:val="center"/>
          </w:tcPr>
          <w:p w:rsidR="00AF1C24" w:rsidRPr="002226A3" w:rsidRDefault="002226A3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:rsidR="00AF1C24" w:rsidRPr="002226A3" w:rsidRDefault="002226A3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AF1C24" w:rsidRPr="002226A3" w:rsidRDefault="002226A3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AF1C24" w:rsidRPr="002226A3" w:rsidRDefault="002226A3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 xml:space="preserve"> </w:t>
            </w:r>
          </w:p>
        </w:tc>
        <w:tc>
          <w:tcPr>
            <w:tcW w:w="619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595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2226A3">
              <w:rPr>
                <w:rFonts w:ascii="Times New Roman" w:eastAsia="Calibri" w:hAnsi="Times New Roman" w:cs="Times New Roman"/>
                <w:i/>
                <w:lang w:val="uk-UA"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AF1C24" w:rsidRPr="002226A3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 w:rsidRPr="002226A3"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>Екз.</w:t>
            </w:r>
          </w:p>
        </w:tc>
        <w:tc>
          <w:tcPr>
            <w:tcW w:w="705" w:type="dxa"/>
            <w:vAlign w:val="center"/>
          </w:tcPr>
          <w:p w:rsidR="00AF1C24" w:rsidRPr="002226A3" w:rsidRDefault="002226A3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 xml:space="preserve">  </w:t>
            </w:r>
            <w:r w:rsidR="00AF1C24" w:rsidRPr="002226A3"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  <w:t>1</w:t>
            </w:r>
          </w:p>
        </w:tc>
        <w:tc>
          <w:tcPr>
            <w:tcW w:w="1741" w:type="dxa"/>
            <w:vAlign w:val="center"/>
          </w:tcPr>
          <w:p w:rsidR="00AF1C24" w:rsidRPr="001B6CA5" w:rsidRDefault="00AF1C24" w:rsidP="00AF1C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</w:tbl>
    <w:p w:rsidR="00AF1C24" w:rsidRPr="00AF1C24" w:rsidRDefault="00AF1C24" w:rsidP="00AF1C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F1C24" w:rsidRPr="00950F7A" w:rsidRDefault="00AF1C24" w:rsidP="00AF1C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AF1C24" w:rsidRPr="00950F7A" w:rsidSect="00AF1C24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lastRenderedPageBreak/>
        <w:t>Мета та завдання освітньої компонети</w:t>
      </w:r>
    </w:p>
    <w:p w:rsidR="00AF1C24" w:rsidRPr="00810235" w:rsidRDefault="00AF1C24" w:rsidP="00AF1C2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u w:val="single"/>
          <w:lang w:val="uk-UA"/>
        </w:rPr>
        <w:t xml:space="preserve"> Метою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даної дисципліни є одержання студентами  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Знання з даної дисципліни, одержані на лекціях та семінарах, а також у процесі самостійного вивчення навчального матеріалу, повинні сприяти виробленню уміння орієнтуватися у діючому національному  законодавстві,   а також правильному застосуванню правових норм у конкретних правовідносинах.</w:t>
      </w:r>
    </w:p>
    <w:p w:rsidR="00AF1C24" w:rsidRPr="00810235" w:rsidRDefault="00AF1C24" w:rsidP="00AF1C2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u w:val="single"/>
          <w:lang w:val="uk-UA"/>
        </w:rPr>
        <w:t>Завданням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вивчення даної дисципліни є:</w:t>
      </w:r>
    </w:p>
    <w:p w:rsidR="00AF1C24" w:rsidRPr="00810235" w:rsidRDefault="00AF1C24" w:rsidP="00AF1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опанування теоретичною базою в сфері основних галузей права України;</w:t>
      </w:r>
    </w:p>
    <w:p w:rsidR="00AF1C24" w:rsidRPr="00810235" w:rsidRDefault="00AF1C24" w:rsidP="00AF1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формування логіко-понятійного апарату в галузі правових знань;</w:t>
      </w:r>
    </w:p>
    <w:p w:rsidR="00AF1C24" w:rsidRPr="00810235" w:rsidRDefault="00AF1C24" w:rsidP="00AF1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одержання базових правових знань у процесі вивчення основних  нормативно-правових актів у галузі  провідних галузей права;</w:t>
      </w:r>
    </w:p>
    <w:p w:rsidR="00AF1C24" w:rsidRPr="00810235" w:rsidRDefault="00AF1C24" w:rsidP="00AF1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- набуття навичок правового захисту прав та законних інтересів громадян при їх порушенні.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327"/>
      </w:tblGrid>
      <w:tr w:rsidR="00AF1C24" w:rsidRPr="00810235" w:rsidTr="00AF1C24">
        <w:tc>
          <w:tcPr>
            <w:tcW w:w="1171" w:type="dxa"/>
            <w:shd w:val="clear" w:color="auto" w:fill="auto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27" w:type="dxa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810235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Зміст компетентності</w:t>
            </w:r>
          </w:p>
        </w:tc>
      </w:tr>
      <w:tr w:rsidR="00AF1C24" w:rsidRPr="00810235" w:rsidTr="00AF1C24">
        <w:tc>
          <w:tcPr>
            <w:tcW w:w="9498" w:type="dxa"/>
            <w:gridSpan w:val="2"/>
            <w:shd w:val="clear" w:color="auto" w:fill="auto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uk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Інтегральна компетентність</w:t>
            </w:r>
          </w:p>
        </w:tc>
      </w:tr>
      <w:tr w:rsidR="00AF1C24" w:rsidRPr="006E6D05" w:rsidTr="00AF1C24">
        <w:tc>
          <w:tcPr>
            <w:tcW w:w="1171" w:type="dxa"/>
            <w:shd w:val="clear" w:color="auto" w:fill="auto"/>
          </w:tcPr>
          <w:p w:rsidR="00AF1C24" w:rsidRPr="00810235" w:rsidRDefault="00AF1C24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  <w:p w:rsidR="00AF1C24" w:rsidRPr="00810235" w:rsidRDefault="00AF1C24" w:rsidP="00AF1C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AF1C24" w:rsidRPr="001B6CA5" w:rsidRDefault="001B6CA5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6C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вирішувати складні спеціалізовані задачі та практичні проблеми у сфері маркетингової діяльності або у процесі навчання, що передбачає застосування відповідних теорій та методів і характеризується комплексністю та невизначеністю умов.</w:t>
            </w:r>
          </w:p>
        </w:tc>
      </w:tr>
      <w:tr w:rsidR="00AF1C24" w:rsidRPr="00810235" w:rsidTr="00AF1C24">
        <w:tc>
          <w:tcPr>
            <w:tcW w:w="9498" w:type="dxa"/>
            <w:gridSpan w:val="2"/>
            <w:shd w:val="clear" w:color="auto" w:fill="auto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компетентності</w:t>
            </w:r>
          </w:p>
        </w:tc>
      </w:tr>
      <w:tr w:rsidR="00AF1C24" w:rsidRPr="006E6D05" w:rsidTr="00AF1C24">
        <w:trPr>
          <w:trHeight w:val="345"/>
        </w:trPr>
        <w:tc>
          <w:tcPr>
            <w:tcW w:w="1171" w:type="dxa"/>
            <w:shd w:val="clear" w:color="auto" w:fill="auto"/>
          </w:tcPr>
          <w:p w:rsidR="00AF1C24" w:rsidRPr="00810235" w:rsidRDefault="00AF1C24" w:rsidP="001B6C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="001B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7" w:type="dxa"/>
          </w:tcPr>
          <w:p w:rsidR="00AF1C24" w:rsidRPr="00810235" w:rsidRDefault="001B6CA5" w:rsidP="00E5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52042"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людиниі громадянина в Україні.</w:t>
            </w:r>
          </w:p>
        </w:tc>
      </w:tr>
      <w:tr w:rsidR="00AF1C24" w:rsidRPr="00810235" w:rsidTr="00AF1C24">
        <w:trPr>
          <w:trHeight w:val="360"/>
        </w:trPr>
        <w:tc>
          <w:tcPr>
            <w:tcW w:w="1171" w:type="dxa"/>
            <w:shd w:val="clear" w:color="auto" w:fill="auto"/>
          </w:tcPr>
          <w:p w:rsidR="00AF1C24" w:rsidRPr="00810235" w:rsidRDefault="00AF1C24" w:rsidP="001B6C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="001B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27" w:type="dxa"/>
          </w:tcPr>
          <w:p w:rsidR="00AF1C24" w:rsidRPr="00810235" w:rsidRDefault="001B6CA5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52042"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 вчитися і оволодівати сучасними знаннями.</w:t>
            </w:r>
          </w:p>
        </w:tc>
      </w:tr>
      <w:tr w:rsidR="00AF1C24" w:rsidRPr="00810235" w:rsidTr="00AF1C24">
        <w:trPr>
          <w:trHeight w:val="311"/>
        </w:trPr>
        <w:tc>
          <w:tcPr>
            <w:tcW w:w="1171" w:type="dxa"/>
            <w:shd w:val="clear" w:color="auto" w:fill="auto"/>
          </w:tcPr>
          <w:p w:rsidR="00AF1C24" w:rsidRPr="00810235" w:rsidRDefault="00AF1C24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</w:t>
            </w:r>
            <w:r w:rsidR="001B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AF1C24" w:rsidRPr="00810235" w:rsidRDefault="001B6CA5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ЗК12</w:t>
            </w:r>
            <w:r w:rsidR="00AF1C24" w:rsidRPr="00810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27" w:type="dxa"/>
          </w:tcPr>
          <w:p w:rsidR="00E52042" w:rsidRDefault="001B6CA5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52042"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Визначеність і наполегливість щодо поставлених завдань і взятих обов’язків.</w:t>
            </w:r>
            <w:r w:rsidR="00E52042" w:rsidRPr="00E52042">
              <w:t xml:space="preserve"> </w:t>
            </w:r>
          </w:p>
          <w:p w:rsidR="00AF1C24" w:rsidRPr="00810235" w:rsidRDefault="00E52042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1B6CA5" w:rsidRPr="00810235" w:rsidTr="00AF1C24">
        <w:trPr>
          <w:trHeight w:val="311"/>
        </w:trPr>
        <w:tc>
          <w:tcPr>
            <w:tcW w:w="1171" w:type="dxa"/>
            <w:shd w:val="clear" w:color="auto" w:fill="auto"/>
          </w:tcPr>
          <w:p w:rsidR="001B6CA5" w:rsidRPr="00810235" w:rsidRDefault="00E52042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ЗК13</w:t>
            </w:r>
          </w:p>
        </w:tc>
        <w:tc>
          <w:tcPr>
            <w:tcW w:w="8327" w:type="dxa"/>
          </w:tcPr>
          <w:p w:rsidR="001B6CA5" w:rsidRDefault="00E52042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 працювати в міжнародному контексті.</w:t>
            </w:r>
          </w:p>
        </w:tc>
      </w:tr>
      <w:tr w:rsidR="001B6CA5" w:rsidRPr="00810235" w:rsidTr="00AF1C24">
        <w:trPr>
          <w:trHeight w:val="311"/>
        </w:trPr>
        <w:tc>
          <w:tcPr>
            <w:tcW w:w="1171" w:type="dxa"/>
            <w:shd w:val="clear" w:color="auto" w:fill="auto"/>
          </w:tcPr>
          <w:p w:rsidR="001B6CA5" w:rsidRPr="00810235" w:rsidRDefault="00E52042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ЗК14</w:t>
            </w:r>
          </w:p>
        </w:tc>
        <w:tc>
          <w:tcPr>
            <w:tcW w:w="8327" w:type="dxa"/>
          </w:tcPr>
          <w:p w:rsidR="001B6CA5" w:rsidRDefault="00E52042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 діяти соціально відповідально та свідомо.</w:t>
            </w:r>
          </w:p>
        </w:tc>
      </w:tr>
      <w:tr w:rsidR="00E52042" w:rsidRPr="00810235" w:rsidTr="00321492">
        <w:trPr>
          <w:trHeight w:val="311"/>
        </w:trPr>
        <w:tc>
          <w:tcPr>
            <w:tcW w:w="9498" w:type="dxa"/>
            <w:gridSpan w:val="2"/>
            <w:shd w:val="clear" w:color="auto" w:fill="auto"/>
          </w:tcPr>
          <w:p w:rsidR="00E52042" w:rsidRPr="00E52042" w:rsidRDefault="00E52042" w:rsidP="00E5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Фахові компетентності</w:t>
            </w:r>
          </w:p>
        </w:tc>
      </w:tr>
      <w:tr w:rsidR="00E52042" w:rsidRPr="00810235" w:rsidTr="00AF1C24">
        <w:trPr>
          <w:trHeight w:val="311"/>
        </w:trPr>
        <w:tc>
          <w:tcPr>
            <w:tcW w:w="1171" w:type="dxa"/>
            <w:shd w:val="clear" w:color="auto" w:fill="auto"/>
          </w:tcPr>
          <w:p w:rsidR="00E52042" w:rsidRPr="001B6CA5" w:rsidRDefault="00E52042" w:rsidP="00E5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1B6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ФК 8</w:t>
            </w:r>
          </w:p>
          <w:p w:rsidR="00E52042" w:rsidRDefault="00E52042" w:rsidP="00E5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7" w:type="dxa"/>
          </w:tcPr>
          <w:p w:rsidR="00E52042" w:rsidRDefault="00E52042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Здатність розробляти маркетингове забезпечення розвитку бізнесу </w:t>
            </w:r>
            <w:r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умовах невизначеності.</w:t>
            </w:r>
          </w:p>
        </w:tc>
      </w:tr>
      <w:tr w:rsidR="00E52042" w:rsidRPr="00810235" w:rsidTr="00AF1C24">
        <w:trPr>
          <w:trHeight w:val="311"/>
        </w:trPr>
        <w:tc>
          <w:tcPr>
            <w:tcW w:w="1171" w:type="dxa"/>
            <w:shd w:val="clear" w:color="auto" w:fill="auto"/>
          </w:tcPr>
          <w:p w:rsidR="00E52042" w:rsidRPr="001B6CA5" w:rsidRDefault="00E52042" w:rsidP="00E5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1B6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ФК 13</w:t>
            </w:r>
          </w:p>
          <w:p w:rsidR="00E52042" w:rsidRDefault="00E52042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7" w:type="dxa"/>
          </w:tcPr>
          <w:p w:rsidR="00E52042" w:rsidRDefault="00E52042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 планування і провадження ефективної маркетингової діяльності ринкового суб’єкта в кросфункціональному розрізі.</w:t>
            </w:r>
          </w:p>
        </w:tc>
      </w:tr>
    </w:tbl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AF1C24" w:rsidRPr="00810235" w:rsidTr="00AF1C24">
        <w:tc>
          <w:tcPr>
            <w:tcW w:w="1134" w:type="dxa"/>
            <w:shd w:val="clear" w:color="auto" w:fill="auto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64" w:type="dxa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810235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Програмні результати</w:t>
            </w:r>
          </w:p>
        </w:tc>
      </w:tr>
      <w:tr w:rsidR="00AF1C24" w:rsidRPr="00810235" w:rsidTr="00AF1C24">
        <w:trPr>
          <w:trHeight w:val="873"/>
        </w:trPr>
        <w:tc>
          <w:tcPr>
            <w:tcW w:w="1134" w:type="dxa"/>
            <w:shd w:val="clear" w:color="auto" w:fill="auto"/>
          </w:tcPr>
          <w:p w:rsidR="00AF1C24" w:rsidRPr="00810235" w:rsidRDefault="00A10BCA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B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1C24" w:rsidRPr="00810235" w:rsidRDefault="00AF1C24" w:rsidP="00AF1C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AF1C24" w:rsidRPr="00810235" w:rsidRDefault="001B6CA5" w:rsidP="00A1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52042"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Оцінювати ризики провадження маркетингової діяльності, встановлювати</w:t>
            </w:r>
            <w:r w:rsidR="00A10B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52042"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рівень невизначеності маркетингового середовища при прийнятті управлінських</w:t>
            </w:r>
            <w:r w:rsidR="00A10B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52042"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рішень. </w:t>
            </w:r>
          </w:p>
        </w:tc>
      </w:tr>
      <w:tr w:rsidR="00AF1C24" w:rsidRPr="006E6D05" w:rsidTr="00AF1C24">
        <w:tc>
          <w:tcPr>
            <w:tcW w:w="1134" w:type="dxa"/>
            <w:shd w:val="clear" w:color="auto" w:fill="auto"/>
          </w:tcPr>
          <w:p w:rsidR="00AF1C24" w:rsidRPr="00810235" w:rsidRDefault="001B6CA5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0BCA"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ПР13</w:t>
            </w:r>
          </w:p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AF1C24" w:rsidRPr="00810235" w:rsidRDefault="001B6CA5" w:rsidP="00A1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10BCA"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Відповідати за результати своєї діяльності, виявляти навички підприємницької та управлінської ініціативи.</w:t>
            </w:r>
          </w:p>
        </w:tc>
      </w:tr>
      <w:tr w:rsidR="00AF1C24" w:rsidRPr="00810235" w:rsidTr="00AF1C24">
        <w:tc>
          <w:tcPr>
            <w:tcW w:w="1134" w:type="dxa"/>
            <w:shd w:val="clear" w:color="auto" w:fill="auto"/>
          </w:tcPr>
          <w:p w:rsidR="00AF1C24" w:rsidRPr="00A10BCA" w:rsidRDefault="00A10BCA" w:rsidP="00AF1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ПР14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AF1C24" w:rsidRPr="00810235" w:rsidRDefault="001B6CA5" w:rsidP="00A1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10BCA"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Виконувати функціональні обов’язки в групі, пропонувати обґрунтовані маркетингові рішення.</w:t>
            </w:r>
          </w:p>
        </w:tc>
      </w:tr>
      <w:tr w:rsidR="00A10BCA" w:rsidRPr="00810235" w:rsidTr="00AF1C24">
        <w:tc>
          <w:tcPr>
            <w:tcW w:w="1134" w:type="dxa"/>
            <w:shd w:val="clear" w:color="auto" w:fill="auto"/>
          </w:tcPr>
          <w:p w:rsidR="00A10BCA" w:rsidRPr="00A10BCA" w:rsidRDefault="00A10BCA" w:rsidP="00A10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ПР15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364" w:type="dxa"/>
          </w:tcPr>
          <w:p w:rsidR="00A10BCA" w:rsidRDefault="00A10BCA" w:rsidP="00A1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Діяти соціально відповідально та громадсько свідомо на основі етичних принципів маркетингу, поваги до культурного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</w:t>
            </w:r>
            <w:r w:rsidRPr="00E520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ізноманіття та цінностей громадянського суспільства з дотриманням прав і свобод особистості.</w:t>
            </w:r>
          </w:p>
        </w:tc>
      </w:tr>
    </w:tbl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Програма дисципліни</w:t>
      </w:r>
    </w:p>
    <w:p w:rsidR="00AF1C24" w:rsidRPr="00810235" w:rsidRDefault="00AF1C24" w:rsidP="00AF1C2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1</w:t>
      </w:r>
    </w:p>
    <w:p w:rsidR="00A10BCA" w:rsidRPr="00A10BCA" w:rsidRDefault="00A10BCA" w:rsidP="00A10BC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теорії держави і права»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1. Основи теорії держави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Виникнення держави. Теорії походження держави.</w:t>
      </w:r>
    </w:p>
    <w:p w:rsidR="00A10BCA" w:rsidRPr="00A10BCA" w:rsidRDefault="00A10BCA" w:rsidP="00A10BC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та ознаки держави.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функції держави.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Форма держави.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Громадянське суспільство та правова держава.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</w:t>
      </w: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2,3. Основи теорії права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Причини та умови виникнення права.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права (сутність, принципи, функції).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Джерела права.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Система права.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Правові відносини: поняття, ознаки, структура правовідносин.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Правомірна поведінка: поняття та класифікація.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Правопорушення: поняття правопорушення та його склад.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Юридична відповідальність: поняття, ознаки та  підстави.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Змістовний модуль 2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галузей права України»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4,5.</w:t>
      </w: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конституційного права України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Конституційне право України: поняття і система. Загальна характеристика Конституції України.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Народовладдя в Україні та форми його здійснення.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Загальна характеристика системи органів державної влади і місцевого самоврядування в Україні.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 6, 7.</w:t>
      </w: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адміністративного права України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Адміністративне право України: поняття і система. Загальна характеристика Кодексу України про адміністративні правопорушення.</w:t>
      </w:r>
    </w:p>
    <w:p w:rsidR="00A10BCA" w:rsidRPr="00A10BCA" w:rsidRDefault="00A10BCA" w:rsidP="00A10BCA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Адміністративно-правові відносини.</w:t>
      </w:r>
    </w:p>
    <w:p w:rsidR="00A10BCA" w:rsidRPr="00A10BCA" w:rsidRDefault="00A10BCA" w:rsidP="00A10BCA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Права та обов’язки громадян у сфері державного управління.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Адміністративні правопорушення. Поняття складу адміністративного правопорушення.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Адміністративна відповідальність та порядок її застосування.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 8,9,10,11,12. </w:t>
      </w: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цивільного права України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Цивільне право України: поняття і система. Загальна характеристика Цивільного кодексу України.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Цивільно-правові відносини.</w:t>
      </w:r>
    </w:p>
    <w:p w:rsidR="00A10BCA" w:rsidRPr="00A10BCA" w:rsidRDefault="00A10BCA" w:rsidP="00A10BC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Право власності.</w:t>
      </w:r>
    </w:p>
    <w:p w:rsidR="00A10BCA" w:rsidRPr="00A10BCA" w:rsidRDefault="00A10BCA" w:rsidP="00A10BC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Цивільно-правовий договір. Зобов</w:t>
      </w:r>
      <w:r w:rsidRPr="00A10BC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Цивільно-правова відповідальність та порядок її застосування.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Інститут спадкування: поняття, види та порядок спадкування.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 13,14,15, 16,17. </w:t>
      </w: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трудового права України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Трудове право України: поняття і система. Загальна характеристика Кодексу законів про працю України.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Трудові правовідносини.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Трудовий договір: поняття, види, порядок укладення та припинення.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Поняття і види робочого часу і часу відпочинку.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Трудова дисципліна. </w:t>
      </w:r>
      <w:r w:rsidRPr="00A10B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Дисциплінарна відповідальність </w:t>
      </w: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порядок її застосування.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Матеріальна відповідальність та порядок її застосування.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18, 19,20.</w:t>
      </w: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кримінального права України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Кримінальне право України: поняття і система. Загальна характеристика Кримінального кодексу України.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Поняття та ознаки кримінального правопорушення.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Склад кримінального правопорушення.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4.Співучасть у вчиненні кримінального правопорушення.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Кримінальна відповідальність та порядок її застосування.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Кримінальне покарання та його види.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3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«Набуття загальних навичок застосування правових норм  у професійній діяльності і повсякденному житті»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1-19</w:t>
      </w:r>
      <w:r w:rsidRPr="00A10B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A10BCA" w:rsidRPr="00A10BCA" w:rsidRDefault="00A10BCA" w:rsidP="00A10BCA">
      <w:pPr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студентів з питань, що розглядалися на лекціях, а також тих, що давалися на самостійне опрацювання. 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Вирішування ситуативних завдань, запропонованих викладачем, шляхом застосування відповідних нормативних актів.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Поточне оцінювання.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20.</w:t>
      </w:r>
    </w:p>
    <w:p w:rsidR="00A10BCA" w:rsidRPr="00A10BCA" w:rsidRDefault="00A10BCA" w:rsidP="00A10BCA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0B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останньому практичному занятті студенти повинні захистити підготовлені ними реферати на одну із запропонованих викладачем тем.</w:t>
      </w:r>
    </w:p>
    <w:p w:rsidR="00AF1C24" w:rsidRDefault="00AF1C24" w:rsidP="00A10BCA">
      <w:pPr>
        <w:widowControl w:val="0"/>
        <w:autoSpaceDE w:val="0"/>
        <w:autoSpaceDN w:val="0"/>
        <w:adjustRightInd w:val="0"/>
        <w:ind w:right="-8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Тематика виконання домашнього завдання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Верховна Рада України – вищий орган законодавчої влади.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Інститут президентури в Україні.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Кабінет Міністрів України – вищий орган виконавчої влади.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Судова система України: суди загальної юрисдикції.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Судова система України: суди спеціальної юрисдикції.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Конституційний Суд України як орган конституційної юрисдикції.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Інститут омбудсмана в Україні і світі.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Уповноважений Президента з прав дитини.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Органи місцевого самоврядування й управління в Україні.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Органи прокуратури України.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Органи внутрішніх справ України.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Служба безпеки України.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Державна податкова служба України.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Нотаріат України.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Адвокатура України.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Інститут громадянства в Україні.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Політико-правовий статус особи і громадянина.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Інститут виборів в Україні.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Інститути безпосередньої демократії.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</w:t>
      </w:r>
      <w:r w:rsidR="00A10B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Юридична відповідальність 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правопорушення у </w:t>
      </w:r>
      <w:r w:rsidR="001C533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сфері </w:t>
      </w:r>
      <w:r w:rsidR="00A10B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будівельній діяльності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F1C24" w:rsidRPr="00810235" w:rsidRDefault="00AF1C24" w:rsidP="00AF1C24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Індивідуальне завдання</w:t>
      </w:r>
    </w:p>
    <w:p w:rsidR="00AF1C24" w:rsidRPr="00810235" w:rsidRDefault="00AF1C24" w:rsidP="00AF1C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235">
        <w:rPr>
          <w:rFonts w:ascii="Times New Roman" w:hAnsi="Times New Roman"/>
          <w:b/>
          <w:sz w:val="28"/>
          <w:szCs w:val="28"/>
          <w:lang w:val="uk-UA"/>
        </w:rPr>
        <w:t xml:space="preserve"> Типове завдання модульної контрольної роботи (приклад 1)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Тестові завдання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Сутність права полягає у тому, що воно є: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соціальним регулятором поведінки людей, 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б) засобом подолання неузгодженостей, конфліктів;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в) сприяє розвитку людської цивілізації шляхом формування та закріплення глобальних цінностей;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г) мірою свободи і рівності, втіленням справедливості;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системою правил, які регулюють усі відносини між суб»єктами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правильними є відповіді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а); б); в); г).</w:t>
      </w: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1C24" w:rsidRPr="00810235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ІІ. Розкрийте зміст охоронної функції права.</w:t>
      </w:r>
    </w:p>
    <w:p w:rsidR="00AF1C24" w:rsidRPr="00654C19" w:rsidRDefault="00AF1C24" w:rsidP="00AF1C24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</w:rPr>
        <w:t>ІІІ. Задача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Належне виконання контрольної модульної роботи потребує обрання правильної відповіді на тестове завдання, надання характеристики зазначеної функції права та вирішення ситуативного завдання з даної тематики шляхом аналізу та застосування відповідних положень  нормативно-правових актів. 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1C24" w:rsidRPr="00810235" w:rsidRDefault="00AF1C24" w:rsidP="00AF1C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235">
        <w:rPr>
          <w:rFonts w:ascii="Times New Roman" w:hAnsi="Times New Roman"/>
          <w:b/>
          <w:sz w:val="28"/>
          <w:szCs w:val="28"/>
          <w:lang w:val="uk-UA"/>
        </w:rPr>
        <w:t>Типове завдання для виконання практичного завдання (приклад 2)</w:t>
      </w:r>
    </w:p>
    <w:p w:rsidR="00AF1C24" w:rsidRPr="00810235" w:rsidRDefault="00AF1C24" w:rsidP="00AF1C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 xml:space="preserve">1. Розкрийте сутність та правове значення принципу поділу влади у державі. Якими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державними 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органами представлена кожна з гілок влади в  Україні?  </w:t>
      </w:r>
    </w:p>
    <w:p w:rsidR="00AF1C24" w:rsidRPr="00810235" w:rsidRDefault="00AF1C24" w:rsidP="00AF1C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2. Схарактеризуйте засади правового порядку в Україні.  У чому полягає пряма дія норм Конституції України ?</w:t>
      </w:r>
    </w:p>
    <w:p w:rsidR="00AF1C24" w:rsidRPr="00810235" w:rsidRDefault="00AF1C24" w:rsidP="00AF1C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235">
        <w:rPr>
          <w:rFonts w:ascii="Times New Roman" w:hAnsi="Times New Roman"/>
          <w:sz w:val="28"/>
          <w:szCs w:val="28"/>
          <w:lang w:val="uk-UA"/>
        </w:rPr>
        <w:t>3. Схарактеризуйте основні права та обов’язки громадян.</w:t>
      </w:r>
    </w:p>
    <w:p w:rsidR="00AF1C24" w:rsidRPr="00810235" w:rsidRDefault="00AF1C24" w:rsidP="00AF1C2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Правильне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виконання контрольної роботи потребує надання ґрунтовної відповіді, </w:t>
      </w:r>
      <w:r>
        <w:rPr>
          <w:rFonts w:ascii="Times New Roman" w:hAnsi="Times New Roman"/>
          <w:sz w:val="28"/>
          <w:szCs w:val="28"/>
          <w:lang w:val="uk-UA"/>
        </w:rPr>
        <w:t>підкріпленої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стат</w:t>
      </w:r>
      <w:r>
        <w:rPr>
          <w:rFonts w:ascii="Times New Roman" w:hAnsi="Times New Roman"/>
          <w:sz w:val="28"/>
          <w:szCs w:val="28"/>
          <w:lang w:val="uk-UA"/>
        </w:rPr>
        <w:t>тями</w:t>
      </w:r>
      <w:r w:rsidRPr="00810235">
        <w:rPr>
          <w:rFonts w:ascii="Times New Roman" w:hAnsi="Times New Roman"/>
          <w:sz w:val="28"/>
          <w:szCs w:val="28"/>
          <w:lang w:val="uk-UA"/>
        </w:rPr>
        <w:t xml:space="preserve"> Конституції України.  </w:t>
      </w:r>
    </w:p>
    <w:p w:rsidR="00AF1C24" w:rsidRPr="00810235" w:rsidRDefault="00AF1C24" w:rsidP="00AF1C24">
      <w:pPr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235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6408"/>
        <w:gridCol w:w="2235"/>
      </w:tblGrid>
      <w:tr w:rsidR="00AF1C24" w:rsidRPr="00810235" w:rsidTr="00AF1C24">
        <w:tc>
          <w:tcPr>
            <w:tcW w:w="709" w:type="dxa"/>
          </w:tcPr>
          <w:p w:rsidR="00AF1C24" w:rsidRPr="00810235" w:rsidRDefault="00AF1C24" w:rsidP="00AF1C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6452" w:type="dxa"/>
          </w:tcPr>
          <w:p w:rsidR="00AF1C24" w:rsidRPr="00810235" w:rsidRDefault="00AF1C24" w:rsidP="00AF1C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</w:t>
            </w: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4" w:type="dxa"/>
          </w:tcPr>
          <w:p w:rsidR="00AF1C24" w:rsidRPr="00810235" w:rsidRDefault="00AF1C24" w:rsidP="00AF1C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F1C24" w:rsidRPr="00810235" w:rsidTr="00AF1C24">
        <w:tc>
          <w:tcPr>
            <w:tcW w:w="709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6452" w:type="dxa"/>
          </w:tcPr>
          <w:p w:rsidR="00AF1C24" w:rsidRPr="00810235" w:rsidRDefault="00AF1C24" w:rsidP="002A12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Опанування лекційн</w:t>
            </w:r>
            <w:r w:rsidR="002A12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</w:t>
            </w: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матеріал</w:t>
            </w:r>
            <w:r w:rsidR="002A120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A10B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4" w:type="dxa"/>
          </w:tcPr>
          <w:p w:rsidR="00AF1C24" w:rsidRPr="00810235" w:rsidRDefault="00A10BCA" w:rsidP="00AF1C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F1C24" w:rsidRPr="00810235" w:rsidTr="00AF1C24">
        <w:tc>
          <w:tcPr>
            <w:tcW w:w="709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6452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2244" w:type="dxa"/>
          </w:tcPr>
          <w:p w:rsidR="00AF1C24" w:rsidRPr="00810235" w:rsidRDefault="00A10BCA" w:rsidP="00AF1C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F1C24" w:rsidRPr="00810235" w:rsidTr="00AF1C24">
        <w:tc>
          <w:tcPr>
            <w:tcW w:w="709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6452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2244" w:type="dxa"/>
          </w:tcPr>
          <w:p w:rsidR="00AF1C24" w:rsidRPr="00810235" w:rsidRDefault="00AF1C24" w:rsidP="00A10BC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10BC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F1C24" w:rsidRPr="00810235" w:rsidTr="00AF1C24">
        <w:tc>
          <w:tcPr>
            <w:tcW w:w="709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452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2244" w:type="dxa"/>
          </w:tcPr>
          <w:p w:rsidR="00AF1C24" w:rsidRPr="00810235" w:rsidRDefault="00AF1C24" w:rsidP="00A10BC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10BC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F1C24" w:rsidRPr="00810235" w:rsidTr="00AF1C24">
        <w:tc>
          <w:tcPr>
            <w:tcW w:w="709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2" w:type="dxa"/>
          </w:tcPr>
          <w:p w:rsidR="00AF1C24" w:rsidRPr="00810235" w:rsidRDefault="00AF1C24" w:rsidP="00AF1C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02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2244" w:type="dxa"/>
          </w:tcPr>
          <w:p w:rsidR="00AF1C24" w:rsidRPr="00810235" w:rsidRDefault="00A10BCA" w:rsidP="00AF1C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F1C24" w:rsidRPr="008102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AF1C24" w:rsidRPr="00810235" w:rsidRDefault="00AF1C24" w:rsidP="00AF1C24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>Загальне оцінювання здійснюється через вимірювання результатів навчання у формі п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po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жн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(модульного) та підсумкового контролю (екзамен, захист індивідуальної роботи тощо) відповідно до вимог зовнішньої та внутрішньої системи забезпечення якості вищої освіти. 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 щодо академічної доброчесності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Тексти індивідуальних завдань (в т.ч. у разі, коли вони виконуються у формі презентацій або в інших формах)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можуть 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перевіряют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ись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плагіат. Для цілей захисту індивідуального завдання оригінальність тексту має складати не менше 70%. Ви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нятки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становлять випадки зарахування публікацій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добувачів у матеріалах наукових конференціях та інших наукових збірниках, які вже пройшли перевірку на плагіат.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він отримує інше завдання. У разі повторного виявлення призначається додаткове заняття для проходження тестування.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 щодо відвідування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Здобувач, який пропустив аудиторне заняття з поважних причин, має продемонструвати викладачу та надати до деканату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документ, який засвідчує ці причини.</w:t>
      </w: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За об’єктивних причин (хвороба, міжнародне стажування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наукова та науково-практична конференція (круглий стіл)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тощо) навчання може відбуватись в он-лайн формі за погодженням із керівником курсу.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 контрол</w:t>
      </w: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опонування  до виступу, рецензія на виступ;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Кожна тема курсу, що винесена на лекційні та практичні заняття, відпрацьовується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добувачами у тій чи іншій формі, наведеній вище. Обов’язкова присутність на лекційних заняттях, активність впродовж семестру, відвідування/відпрацювання усіх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аудиторних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виконання інших видів робіт, передбачених навчальним планом з цієї дисципліни. </w:t>
      </w:r>
    </w:p>
    <w:p w:rsidR="00AF1C24" w:rsidRPr="00810235" w:rsidRDefault="00AF1C24" w:rsidP="00AF1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При оцінюванні рівня знань </w:t>
      </w:r>
      <w:r w:rsidRPr="0081023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810235">
        <w:rPr>
          <w:rFonts w:ascii="Times New Roman" w:eastAsia="Calibri" w:hAnsi="Times New Roman" w:cs="Times New Roman"/>
          <w:sz w:val="28"/>
          <w:szCs w:val="28"/>
        </w:rPr>
        <w:t xml:space="preserve">добувача аналізу підлягають: </w:t>
      </w:r>
    </w:p>
    <w:p w:rsidR="00AF1C24" w:rsidRPr="00810235" w:rsidRDefault="00AF1C24" w:rsidP="00AF1C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 xml:space="preserve">характеристики відповіді: цілісність, повнота, логічність, обґрунтованість, правильність;  </w:t>
      </w:r>
    </w:p>
    <w:p w:rsidR="00AF1C24" w:rsidRPr="00810235" w:rsidRDefault="00AF1C24" w:rsidP="00AF1C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:rsidR="00AF1C24" w:rsidRPr="00810235" w:rsidRDefault="00AF1C24" w:rsidP="00AF1C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>ступінь сформованості уміння поєднувати теорію і практику під час розгляду ситуацій, практичних завдань;</w:t>
      </w:r>
    </w:p>
    <w:p w:rsidR="00AF1C24" w:rsidRPr="00810235" w:rsidRDefault="00AF1C24" w:rsidP="00AF1C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:rsidR="00AF1C24" w:rsidRPr="00810235" w:rsidRDefault="00AF1C24" w:rsidP="00AF1C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 xml:space="preserve">досвід творчої діяльності: уміння виявляти проблеми, розв’язувати їх, формувати гіпотези;  </w:t>
      </w:r>
    </w:p>
    <w:p w:rsidR="00AF1C24" w:rsidRPr="00810235" w:rsidRDefault="00AF1C24" w:rsidP="00AF1C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35">
        <w:rPr>
          <w:rFonts w:ascii="Times New Roman" w:eastAsia="Calibri" w:hAnsi="Times New Roman" w:cs="Times New Roman"/>
          <w:sz w:val="28"/>
          <w:szCs w:val="28"/>
        </w:rPr>
        <w:t>-</w:t>
      </w:r>
      <w:r w:rsidRPr="00810235">
        <w:rPr>
          <w:rFonts w:ascii="Times New Roman" w:eastAsia="Calibri" w:hAnsi="Times New Roman" w:cs="Times New Roman"/>
          <w:sz w:val="28"/>
          <w:szCs w:val="28"/>
        </w:rPr>
        <w:tab/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тощо).  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Тестове опитування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може проводитись за одним або кількома змістовими модулями. В останньому випадку бали, які нараховуються 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з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добувачу за відповіді на тестові питання, поділяються між змістовими модулями.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Індивідуальне завдання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підлягає захисту Здобувачом на заняттях, які призначаються додатково.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Індивідуальне завдання може бути виконане у різних формах. Зокрема, Здобувачи можуть зробити його у вигляді реферату. Реферат повинен мати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обсяг від 18 до 24 сторінок А4 тексту (кегль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Times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New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Roman</w:t>
      </w:r>
      <w:r w:rsidRPr="0081023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шрифт 14, інтервал 1,5), включати </w:t>
      </w:r>
      <w:r w:rsidRPr="0081023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план, структуру основної частини тексту відповідно до плану, висновки і список </w:t>
      </w:r>
      <w:r w:rsidRPr="0081023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літератури, складений відповідно до ДСТУ 8302:2015. В рефераті можна також помістити словник базових понять до теми.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Водночас індивідуальне завдання може бути виконане в інших формах, наприклад, у вигляді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дидактичного проєкту, у формі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презентації у форматі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Power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Point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В цьому разі обсяг роботи визначається індивідуально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81023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залежно від теми.</w:t>
      </w:r>
    </w:p>
    <w:p w:rsidR="00AF1C24" w:rsidRPr="00810235" w:rsidRDefault="00AF1C24" w:rsidP="00AF1C24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Література, що рекомендується для виконання індивідуального завдання, наведена у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цій робочій програмі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, а в електронному вигляді вона розміщена на Освітньому сайті КНУБА, на сторінці кафедри.</w:t>
      </w:r>
    </w:p>
    <w:p w:rsidR="00AF1C24" w:rsidRPr="00810235" w:rsidRDefault="00AF1C24" w:rsidP="00AF1C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Також як виконання індивідуального завдання за рішенням викладача може бути зарахована участь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 w:rsidR="00AF1C24" w:rsidRPr="00810235" w:rsidRDefault="00AF1C24" w:rsidP="00AF1C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Текст індивідуального завдання подається викладачу не пізніше, ніж за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2 тижні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до початку залікової сесії. Викладач має право вимагати від 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здобувача</w:t>
      </w:r>
      <w:r w:rsidRPr="00810235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доопрацювання індивідуального завдання, якщо воно не відповідає встановленим вимогам.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поточного контролю заносяться до журналу обліку роботи. Позитивна оцінка поточної успішності Здобувачів за відсутності пропущених та невідпрацьованих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та позитивні оцінки за індивідуальну роботу є підставою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допуску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підсумкової форми контролю. Бали за аудиторну роботу відпрацьовуються у разі пропусків. </w:t>
      </w:r>
    </w:p>
    <w:p w:rsidR="00AF1C24" w:rsidRPr="00810235" w:rsidRDefault="00AF1C24" w:rsidP="00AF1C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Підсумковий контроль</w:t>
      </w:r>
      <w:r w:rsidRPr="0081023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здійснюється під час проведення залікової сесії з урахуванням підсумків поточного та модульного контроля. 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 час семестрового контролю враховуються результати здачі усіх видів навчальної 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роботи згідно зі структурою кредитів. </w:t>
      </w:r>
    </w:p>
    <w:p w:rsidR="00AF1C24" w:rsidRPr="00810235" w:rsidRDefault="00AF1C24" w:rsidP="00AF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 проводиться за 100-бальною шкалою.</w:t>
      </w:r>
    </w:p>
    <w:p w:rsidR="00AF1C24" w:rsidRPr="00810235" w:rsidRDefault="00AF1C24" w:rsidP="00AF1C24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Розподіл балів для дисципліни з формою контролю екзамен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854"/>
        <w:gridCol w:w="1863"/>
      </w:tblGrid>
      <w:tr w:rsidR="00AF1C24" w:rsidRPr="00810235" w:rsidTr="00AF1C24">
        <w:trPr>
          <w:cantSplit/>
          <w:trHeight w:val="817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Поточне оцінювання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Підсумкове тестування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Сума</w:t>
            </w:r>
          </w:p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балів</w:t>
            </w:r>
          </w:p>
        </w:tc>
      </w:tr>
      <w:tr w:rsidR="00AF1C24" w:rsidRPr="00810235" w:rsidTr="00AF1C24">
        <w:trPr>
          <w:cantSplit/>
          <w:trHeight w:val="646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70</w:t>
            </w: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24" w:rsidRPr="00810235" w:rsidRDefault="00AF1C24" w:rsidP="00AF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</w:tr>
    </w:tbl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AF1C24" w:rsidRPr="00810235" w:rsidTr="00AF1C24">
        <w:trPr>
          <w:jc w:val="center"/>
        </w:trPr>
        <w:tc>
          <w:tcPr>
            <w:tcW w:w="2376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балів</w:t>
            </w:r>
          </w:p>
        </w:tc>
        <w:tc>
          <w:tcPr>
            <w:tcW w:w="5791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</w:t>
            </w:r>
          </w:p>
        </w:tc>
      </w:tr>
      <w:tr w:rsidR="00AF1C24" w:rsidRPr="00810235" w:rsidTr="00AF1C24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474" w:type="dxa"/>
            <w:vAlign w:val="center"/>
          </w:tcPr>
          <w:p w:rsidR="00AF1C24" w:rsidRPr="00810235" w:rsidRDefault="00AF1C24" w:rsidP="00AF1C24">
            <w:pPr>
              <w:widowControl w:val="0"/>
              <w:tabs>
                <w:tab w:val="center" w:pos="791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791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F1C24" w:rsidRPr="006E6D05" w:rsidTr="00AF1C24">
        <w:trPr>
          <w:trHeight w:val="345"/>
          <w:jc w:val="center"/>
        </w:trPr>
        <w:tc>
          <w:tcPr>
            <w:tcW w:w="2376" w:type="dxa"/>
            <w:vMerge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791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F1C24" w:rsidRPr="00810235" w:rsidTr="00AF1C24">
        <w:trPr>
          <w:jc w:val="center"/>
        </w:trPr>
        <w:tc>
          <w:tcPr>
            <w:tcW w:w="2376" w:type="dxa"/>
            <w:vMerge w:val="restart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74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791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F1C24" w:rsidRPr="00810235" w:rsidTr="00AF1C24">
        <w:trPr>
          <w:jc w:val="center"/>
        </w:trPr>
        <w:tc>
          <w:tcPr>
            <w:tcW w:w="2376" w:type="dxa"/>
            <w:vMerge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791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F1C24" w:rsidRPr="00810235" w:rsidTr="00AF1C24">
        <w:trPr>
          <w:jc w:val="center"/>
        </w:trPr>
        <w:tc>
          <w:tcPr>
            <w:tcW w:w="2376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74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791" w:type="dxa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AF1C24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3E9A" w:rsidRDefault="004B3E9A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3E9A" w:rsidRDefault="004B3E9A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3E9A" w:rsidRDefault="004B3E9A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Шкала оцінювання: національна та ECTS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  <w:gridCol w:w="27"/>
      </w:tblGrid>
      <w:tr w:rsidR="00AF1C24" w:rsidRPr="00810235" w:rsidTr="00AF1C24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2683" w:type="dxa"/>
            <w:shd w:val="clear" w:color="auto" w:fill="auto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AF1C24" w:rsidRPr="00810235" w:rsidTr="00AF1C24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</w:p>
        </w:tc>
      </w:tr>
      <w:tr w:rsidR="00AF1C24" w:rsidRPr="00810235" w:rsidTr="00AF1C24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C24" w:rsidRPr="00810235" w:rsidTr="00AF1C24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C24" w:rsidRPr="00810235" w:rsidTr="00AF1C24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C24" w:rsidRPr="00810235" w:rsidTr="00AF1C24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C24" w:rsidRPr="00810235" w:rsidTr="00AF1C24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зараховано з можливістю повторного складання</w:t>
            </w:r>
          </w:p>
        </w:tc>
      </w:tr>
      <w:tr w:rsidR="00AF1C24" w:rsidRPr="00810235" w:rsidTr="00AF1C24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AF1C24" w:rsidRPr="00810235" w:rsidRDefault="00AF1C24" w:rsidP="00A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AF1C24" w:rsidRPr="00810235" w:rsidRDefault="00AF1C24" w:rsidP="00AF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1C24" w:rsidRPr="00810235" w:rsidRDefault="00AF1C24" w:rsidP="00AF1C2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Умови допуску до </w:t>
      </w: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екзамену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Здобувачу,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Здобувач, який не виконав вимог робочо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 програми по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змістових модулях,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допускається до складання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езамену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Здобувач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КНУБА та зміст яких доводиться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Здобувачам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</w:t>
      </w:r>
      <w:r w:rsidRPr="0081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початку вивчення дисципліни.</w:t>
      </w: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:rsidR="00AF1C24" w:rsidRPr="005935E1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Підручники та посібники</w:t>
      </w:r>
      <w:r w:rsidRPr="005935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: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Правознавство: [підруч. / відп. ред. О.В. Дзера]. 12-е вид., перероб. і допов. – К. : Юрінком Інтер, 2019. – 632 с. </w:t>
      </w: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  Погорілко В.Ф., Шпиталенко Г.А. Правознавство: Підручник. 6-тє вид., випр. і доп. - К.: Каравела, 2020.-602 с.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Правознавство: навчальний посібник, за заг. ред.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С.В. Пєткова. – Дніпро: Університет імені Альфреда Нобеля,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2020. – 360 с.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Тополевський Р. Б., Федіна Н. В. Теорія держави і права: навч. посібник. Львів: ЛьвДУВС, 2020. - 268 с.</w:t>
      </w:r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Конституційне право: підручник / за загальною редакцією М.І. Козюбри./ Ю.Г. Барабаш, О.М. Бориславська, В.М. Венгер, М.І. Козюбра, А.А. Мелешевич. - К.: Ваіте, 2021. – 528 с.</w:t>
      </w: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E1">
        <w:rPr>
          <w:rFonts w:ascii="Times New Roman" w:eastAsia="Calibri" w:hAnsi="Times New Roman" w:cs="Times New Roman"/>
          <w:sz w:val="28"/>
          <w:szCs w:val="28"/>
        </w:rPr>
        <w:t>Адміністративне право України. Повний курс : підручник / Галунько В.,</w:t>
      </w: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35E1">
        <w:rPr>
          <w:rFonts w:ascii="Times New Roman" w:eastAsia="Calibri" w:hAnsi="Times New Roman" w:cs="Times New Roman"/>
          <w:sz w:val="28"/>
          <w:szCs w:val="28"/>
        </w:rPr>
        <w:t>Діхтієвський П., Кузьменко О., Стеценко С. та ін. Херсон : ОЛДІ-ПЛЮС, 2018</w:t>
      </w: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935E1">
        <w:rPr>
          <w:rFonts w:ascii="Times New Roman" w:eastAsia="Calibri" w:hAnsi="Times New Roman" w:cs="Times New Roman"/>
          <w:sz w:val="28"/>
          <w:szCs w:val="28"/>
        </w:rPr>
        <w:t xml:space="preserve"> 446 с.</w:t>
      </w:r>
    </w:p>
    <w:p w:rsidR="00AF1C24" w:rsidRPr="005935E1" w:rsidRDefault="00AF1C24" w:rsidP="00AF1C24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Парасюк М.В., Парасюк В.М., Грабар Н.М.  Цивільне право України (загальна частина) (у схемах та таблицях): навч. посіб. Львів : Растр-7, 2020. 364 с.</w:t>
      </w:r>
    </w:p>
    <w:p w:rsidR="00AF1C24" w:rsidRPr="005935E1" w:rsidRDefault="00AF1C24" w:rsidP="00AF1C24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>Цивільне право України : Навч. посіб. у 2 т. / Ю. Ф. Іванов, О. В. Куриліна, М. В. Іванова – 2-ге вид. доповн. і переробл. – Т. 1. – К.: Алерта, 2019. – 342 с.</w:t>
      </w:r>
    </w:p>
    <w:p w:rsidR="00AF1C24" w:rsidRPr="005935E1" w:rsidRDefault="00AF1C24" w:rsidP="00AF1C2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Процьків Н.М., Гетьманцева Н.Д. Сімейне право:  навчально-методичний посібник. Чернівці: Чернівец. нац.. ун-т ім.. Ю Федьковича, 2021- 148 с.</w:t>
      </w: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cr/>
      </w:r>
      <w:r w:rsidRPr="005935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Трудове право України: підручник (за ред. проф. О. М. Ярошенко). Харків: Вид-во 2022. – 376 </w:t>
      </w: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с.  </w:t>
      </w:r>
    </w:p>
    <w:p w:rsidR="00AF1C24" w:rsidRDefault="00AF1C24" w:rsidP="00AF1C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Трудове право України : підручник / МВС України, Харків. нац. ун-т внутр. справ; [С. М. Бортник, К. Ю. Мельник, Л. В. Могілевський та ін.]. – Харків, 2019. – 408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AF1C24" w:rsidRDefault="00AF1C24" w:rsidP="00AF1C2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1C24" w:rsidRPr="005935E1" w:rsidRDefault="00AF1C24" w:rsidP="00AF1C2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F1C24" w:rsidRPr="005935E1" w:rsidRDefault="00AF1C24" w:rsidP="00AF1C2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Тернавська В.М. Трудове право України : навч. посібник / В.М. Тернавська. – Київ : КНУБА, 2019. – 180 с. URL : </w:t>
      </w:r>
      <w:hyperlink r:id="rId8" w:history="1">
        <w:r w:rsidRPr="00593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http://library.knuba.edu.ua/books/9_1_19.pdf</w:t>
        </w:r>
      </w:hyperlink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F1C24" w:rsidRPr="005935E1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13. Кримінальне право України. Загальна частина : підручник /підготовлено колективом авторів; за заг. ред. В. Я. Конопельського, В. О.Меркулової. Одеса, ОДУВС, 2021- 452 с.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AF1C24" w:rsidRPr="005935E1" w:rsidTr="00AF1C24">
        <w:trPr>
          <w:trHeight w:val="107"/>
        </w:trPr>
        <w:tc>
          <w:tcPr>
            <w:tcW w:w="0" w:type="auto"/>
          </w:tcPr>
          <w:p w:rsidR="00AF1C24" w:rsidRPr="005935E1" w:rsidRDefault="00AF1C24" w:rsidP="00AF1C24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35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Додаткові джерела: </w:t>
            </w:r>
          </w:p>
          <w:p w:rsidR="00AF1C24" w:rsidRPr="005935E1" w:rsidRDefault="00AF1C24" w:rsidP="00AF1C24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10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1.</w:t>
            </w:r>
            <w:r w:rsidRPr="00593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Тертишник В.М. Конституція України. Науково-практичний коментар. Київ: Алерта, 2022. 430 с.</w:t>
            </w:r>
          </w:p>
        </w:tc>
      </w:tr>
    </w:tbl>
    <w:p w:rsidR="00AF1C24" w:rsidRPr="00810235" w:rsidRDefault="00AF1C24" w:rsidP="00AF1C2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10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Науково-практичний коментар Цивільного кодексу України [Текст] : у 2 т. / за заг. ред. О. В. Дзери, Н. С. Кузнєцової, В. В. Луця ; [наук. ред. М. М. Хоменко]. - Київ : Юрінком Інтер, 2019 - 1800 с.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 Науково-практичний коментар Кодексу законів про працю України. Станом на 20 травня 2020 року. За заг. ред. Іншина М.І. – Київ : Видавничий дім «Професіонал», 2020. – 344 с.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93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Науково-практичний коментар Кодексу України про адміністративні правопорушення/ за заг. ред. С. В. Пєткова. Київ: Юрінком Інтер,  2020. 792 с.  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Нормативні  акти: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2. Декларація про державний суверенітет України від 16.07.1990 № 55-12 // Відомості Верховної Ради УРСР. – 1990. – № 31. – Ст. 429.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3. Про громадянство України. Закон України від 18.01.2001 № 2235-ІІІ // Відомості Верховної Ради України. – 2001. – № 13. – Ст. 65.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4. Про забезпечення прав і свобод внутрішньо переміщених осіб. Закон України від 20.10.2014 № 1706-VIІ // Відомості Верховної Ради України. – 2015. – № 1. – 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Ст. 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7. Про громадські об'єднання. Закон України від 22.03.2012 № 4572-VI // Відомості Верховної Ради України. – 2013. – № 1. – Ст. 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8. Про політичні партії в Україні. Закон України від 05.04.2001 № 2365-ІІІ // Відомості Верховної Ради України. – 2001. – № 23. – Ст. 118.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10. Про охорону навколишнього природного середовища. Закон України від 25.06.1991 № 1264-ХІІ // Відомості Верховної Ради УРСР. – 1991. – № 41. – Ст. 546.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11.  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Про Уповноваженого Верховної Ради України з прав людини. Закон України від 23.12.1997 № 776/97-ВР // Відомості Верховної Ради України. – 1998. – № 20. – Ст. 99.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12.   Про Положення про Адміністрацію Президента України. Указ Президента України від 02.04.2010 № 504/2010 // Офіційний вісник України. – 2010. – № 25.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14. Про Кабінет Міністрів України. Закон України від 27.02.2014 № 794-VІI // Відомості Верховної Ради України. – 2014. – № 13. – Ст. 222. 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15. Про центральні органи виконавчої влади. Закон України від 17.03.2011 № 3166-VI // Відомості Верховної Ради України. – 2011. – № 38. – Ст. 385.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16. Про систему центральних органів виконавчої влади. Указ Президента України від 15.12.1999 № 1572/99 // Офіційний вісник України. – 1999. – № 50.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17. Про державну службу. Закон України від 10.12.2015 № 889-VІІI // Відомості Верховної Ради України. – 2016. – № 4. – Ст. 43.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18. Про очищення влади. Закон України від 16.09.2014 № 1682-VІІ // Відомості Верховної Ради України. – 2014. – № 44. – Ст. 2041.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19. Про судоустрій і статус суддів. Закон України від 02.06.2016 № 1402-VIII // Відомості Верховної Ради України. – 2016. – № 31. – Ст. 545.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20. Про Конституційний Суд України. Закон України від 13.07.2017 № 2136-VIII // Відомості Верховної Ради України. – 2017. – № 35. – Ст. 376.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21. Про місцеве самоврядування в Україні. Закон України від 21.05.1997 № 280/97-ВР // Відомості Верховної Ради України. – 1997. – № 24. – Ст. 170.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22. Про Національний банк України. Закон України від 20.05.1999 № 679-XIV // Відомості Верховної Ради України. – 1999. – № 29. – Ст. 238.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23. Про прокуратуру. Закон України від 14.10.2014 № 1697-VІІ // Відомості </w:t>
      </w: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Верховної Ради України. – 2015. – № 2-3. – Ст. 12.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24. Про адвокатуру та адвокатську діяльність. Закон України від 05.07.2012 № 5076-VI // Відомості Верховної Ради України. – 2013. – № 27. – Ст. 282.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25. Про нотаріат. Закон України від 02.09.1993 № 3425-ХІІ // Відомості Верховної Ради України. – 1993. – № 39. – Ст. 383.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Виборчий кодекс України  від 19.12.2019 № 396-IX // Відомості Верховної Ради України .- 2020 - № 7,   № 8, № 9 .  - ст. 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26. Кодекс України про адміністративні правопорушення від 07.12.1984 № 8073-X // Відомості Верховної Ради УРСР. – 1984. – № 51. – Ст. 1122.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27. Цивільний кодекс України від 16.01.2003 № 435-IV // Відомості Верховної Ради України. – 2003. – № 40–44. – Ст. 356.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28. Господарський кодекс України від 16.01.2003 № 436-IV // Відомості Верховної Ради України. – 2003. – № 18, № 19-20, № 21-22. – Ст. 144.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29. Про регулювання містобудівної діяльності. Закон України від 17.02.2011 № 3038-VІ // Відомості Верховної Ради України. – 2011. – № 34. – Ст. 343.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30. Про архітектурну діяльність. Закон України від 20.05.1999 № 687-XIV // Відомості Верховної Ради України. – 1999. – № 31. – Ст. 246.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31. Про будівельні норми. Закон України від 05.11.2009 № 1704-VІ // Відомості Верховної Ради України. – 2010. – № 5. – Ст. 41.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32. Про туризм. Закон України від 15.09.1995 № 324/95-ВР // Відомості Верховної Ради України. – 1995. – № 31. – Ст. 241.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34. Сімейний кодекс України від 10.01.2002 № 2947-III // Відомості Верховної Ради України. – 2002. – № 21 – 22. – Ст. 135.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35. Кодекс законів про працю України від 10.12.1971 № 322-VIII // Відомості Верховної Ради УРСР. – 1971. – № 50 – Ст. 375.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36. Про оплату праці. Закон України від 24.03.1995 № 108/95-ВР // Відомості Верховної Ради України. – 1995. – № 17. – Ст. 121.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37. Про відпустки. Закон України від 15.11.1996 № 504/96-ВР // Відомості Верховної Ради України. – 1997. – № 2. – Ст. 5.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38. Кримінальний кодекс України від 05.04.2001 № 2341-III // Відомості Верховної Ради України. – 2001. – № 25 – 26. – Ст. 131.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39. Про запобігання корупції. Закон України від 14.10.2014 р. № 1700-VII // Відомості Верховної Ради України – 2014. – № 49. – Ст. 2056.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40. Про національну поліцію. Закон України від 25.12.1990 № 565-ХІІ // Відомості Верховної Ради України. – 2015. – № 40-41. – Ст. 379.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5935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41. Про Службу безпеки України. Закон України від 25.03.1992 № 2229-ХІІ // Відомості Верховної Ради України. – 1992. – № 27. – Ст. 382.</w:t>
      </w:r>
    </w:p>
    <w:p w:rsidR="00AF1C24" w:rsidRPr="005935E1" w:rsidRDefault="00AF1C24" w:rsidP="00AF1C24">
      <w:pPr>
        <w:widowControl w:val="0"/>
        <w:tabs>
          <w:tab w:val="left" w:pos="0"/>
          <w:tab w:val="left" w:pos="284"/>
          <w:tab w:val="left" w:pos="351"/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Методичні роботи:</w:t>
      </w:r>
    </w:p>
    <w:p w:rsidR="00AF1C24" w:rsidRPr="005935E1" w:rsidRDefault="00AF1C24" w:rsidP="00AF1C24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81023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1.Правознавство: Методичні рекомендації до практичних занять – 2-е вид., переробл. і допов. / уклад.: В.М. Тернавська – Київ: КНУБА,  2018. – 21 с.</w:t>
      </w:r>
    </w:p>
    <w:p w:rsidR="00AF1C24" w:rsidRPr="00810235" w:rsidRDefault="00AF1C24" w:rsidP="00AF1C24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AF1C24" w:rsidRPr="005935E1" w:rsidRDefault="00AF1C24" w:rsidP="00AF1C24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5935E1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Інформаційні ресурси</w:t>
      </w:r>
    </w:p>
    <w:p w:rsidR="00AF1C24" w:rsidRPr="005935E1" w:rsidRDefault="00AF1C24" w:rsidP="00AF1C24">
      <w:pPr>
        <w:widowControl w:val="0"/>
        <w:shd w:val="clear" w:color="auto" w:fill="FFFFFF"/>
        <w:tabs>
          <w:tab w:val="left" w:pos="351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Національна бібліотека імені В.І. Вернадського: </w:t>
      </w:r>
      <w:hyperlink r:id="rId9" w:history="1">
        <w:r w:rsidRPr="005935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http://www.nbuv.gov.ua/</w:t>
        </w:r>
      </w:hyperlink>
    </w:p>
    <w:p w:rsidR="00AF1C24" w:rsidRPr="005935E1" w:rsidRDefault="00AF1C24" w:rsidP="00AF1C24">
      <w:pPr>
        <w:tabs>
          <w:tab w:val="left" w:pos="351"/>
        </w:tabs>
        <w:spacing w:after="0" w:line="288" w:lineRule="auto"/>
        <w:ind w:right="72"/>
        <w:contextualSpacing/>
        <w:rPr>
          <w:rFonts w:ascii="Times New Roman" w:eastAsia="MS ??" w:hAnsi="Times New Roman" w:cs="Times New Roman"/>
          <w:sz w:val="28"/>
          <w:szCs w:val="28"/>
          <w:lang w:val="uk-UA" w:eastAsia="ru-RU"/>
        </w:rPr>
      </w:pP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>2.  Бібліотека КНУБА:</w:t>
      </w: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 xml:space="preserve"> </w:t>
      </w:r>
      <w:hyperlink w:history="1">
        <w:r w:rsidRPr="005935E1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http://library.knuba.edu.ua </w:t>
        </w:r>
      </w:hyperlink>
    </w:p>
    <w:p w:rsidR="00AF1C24" w:rsidRPr="005935E1" w:rsidRDefault="00AF1C24" w:rsidP="00AF1C24">
      <w:pPr>
        <w:tabs>
          <w:tab w:val="left" w:pos="351"/>
        </w:tabs>
        <w:spacing w:after="0" w:line="288" w:lineRule="auto"/>
        <w:ind w:right="72"/>
        <w:contextualSpacing/>
        <w:jc w:val="both"/>
        <w:rPr>
          <w:rFonts w:ascii="Times New Roman" w:eastAsia="MS ??" w:hAnsi="Times New Roman" w:cs="Times New Roman"/>
          <w:color w:val="0000FF"/>
          <w:sz w:val="28"/>
          <w:szCs w:val="28"/>
          <w:u w:val="single"/>
          <w:lang w:val="uk-UA" w:eastAsia="ru-RU"/>
        </w:rPr>
      </w:pP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>3.</w:t>
      </w: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>Офіційний веб</w:t>
      </w: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>-</w:t>
      </w: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портал </w:t>
      </w:r>
      <w:r w:rsidRPr="005935E1">
        <w:rPr>
          <w:rFonts w:ascii="Times New Roman" w:eastAsia="MS ??" w:hAnsi="Times New Roman" w:cs="Times New Roman"/>
          <w:sz w:val="28"/>
          <w:szCs w:val="28"/>
          <w:lang w:val="uk-UA" w:eastAsia="ru-RU"/>
        </w:rPr>
        <w:t>Верховної Ради</w:t>
      </w:r>
      <w:r w:rsidRPr="005935E1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України: </w:t>
      </w:r>
      <w:hyperlink r:id="rId10" w:history="1">
        <w:r w:rsidRPr="005935E1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https://zakon.rada.gov.ua/laws/main/groups</w:t>
        </w:r>
      </w:hyperlink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AF1C24" w:rsidRPr="00810235" w:rsidRDefault="00AF1C24" w:rsidP="00AF1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10235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:rsidR="00AF1C24" w:rsidRPr="00810235" w:rsidRDefault="00AF1C24" w:rsidP="00AF1C24">
      <w:pPr>
        <w:rPr>
          <w:sz w:val="28"/>
          <w:szCs w:val="28"/>
          <w:lang w:val="uk-UA"/>
        </w:rPr>
      </w:pPr>
    </w:p>
    <w:p w:rsidR="00E10079" w:rsidRDefault="00E10079" w:rsidP="00AF1C24"/>
    <w:sectPr w:rsidR="00E1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9C" w:rsidRDefault="001C533C">
      <w:pPr>
        <w:spacing w:after="0" w:line="240" w:lineRule="auto"/>
      </w:pPr>
      <w:r>
        <w:separator/>
      </w:r>
    </w:p>
  </w:endnote>
  <w:endnote w:type="continuationSeparator" w:id="0">
    <w:p w:rsidR="00F2609C" w:rsidRDefault="001C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24" w:rsidRPr="00BA7F59" w:rsidRDefault="00AF1C24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6E6D05">
      <w:rPr>
        <w:rFonts w:ascii="Times New Roman" w:hAnsi="Times New Roman"/>
        <w:noProof/>
      </w:rPr>
      <w:t>15</w:t>
    </w:r>
    <w:r w:rsidRPr="0065508B">
      <w:rPr>
        <w:rFonts w:ascii="Times New Roman" w:hAnsi="Times New Roman"/>
      </w:rPr>
      <w:fldChar w:fldCharType="end"/>
    </w:r>
  </w:p>
  <w:p w:rsidR="00AF1C24" w:rsidRDefault="00AF1C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9C" w:rsidRDefault="001C533C">
      <w:pPr>
        <w:spacing w:after="0" w:line="240" w:lineRule="auto"/>
      </w:pPr>
      <w:r>
        <w:separator/>
      </w:r>
    </w:p>
  </w:footnote>
  <w:footnote w:type="continuationSeparator" w:id="0">
    <w:p w:rsidR="00F2609C" w:rsidRDefault="001C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4"/>
    <w:rsid w:val="001B6CA5"/>
    <w:rsid w:val="001C533C"/>
    <w:rsid w:val="002226A3"/>
    <w:rsid w:val="002A120E"/>
    <w:rsid w:val="004B3E9A"/>
    <w:rsid w:val="006E6D05"/>
    <w:rsid w:val="00875DD5"/>
    <w:rsid w:val="00A10BCA"/>
    <w:rsid w:val="00AF1C24"/>
    <w:rsid w:val="00E10079"/>
    <w:rsid w:val="00E52042"/>
    <w:rsid w:val="00F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9E62"/>
  <w15:chartTrackingRefBased/>
  <w15:docId w15:val="{130CA777-E986-409B-9D60-29DA154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F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F1C24"/>
  </w:style>
  <w:style w:type="table" w:styleId="a5">
    <w:name w:val="Table Grid"/>
    <w:basedOn w:val="a1"/>
    <w:uiPriority w:val="59"/>
    <w:rsid w:val="00AF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books/9_1_19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main/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KKLZT2</Company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6</cp:revision>
  <dcterms:created xsi:type="dcterms:W3CDTF">2023-02-09T10:30:00Z</dcterms:created>
  <dcterms:modified xsi:type="dcterms:W3CDTF">2023-02-14T07:22:00Z</dcterms:modified>
</cp:coreProperties>
</file>