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AA" w:rsidRPr="00921298" w:rsidRDefault="004101AA" w:rsidP="004101AA">
      <w:pPr>
        <w:spacing w:line="288" w:lineRule="auto"/>
        <w:rPr>
          <w:rFonts w:ascii="Arial" w:hAnsi="Arial" w:cs="Arial"/>
          <w:i/>
          <w:sz w:val="28"/>
          <w:szCs w:val="28"/>
          <w:u w:val="single"/>
          <w:lang w:val="uk-UA"/>
        </w:rPr>
      </w:pPr>
      <w:r w:rsidRPr="00F474E1">
        <w:rPr>
          <w:rFonts w:ascii="Arial" w:hAnsi="Arial" w:cs="Arial"/>
          <w:b/>
          <w:sz w:val="28"/>
          <w:szCs w:val="28"/>
          <w:lang w:val="uk-UA"/>
        </w:rPr>
        <w:t xml:space="preserve">                                   </w:t>
      </w:r>
      <w:r w:rsidRPr="00EE53E2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F474E1">
        <w:rPr>
          <w:rFonts w:ascii="Arial" w:hAnsi="Arial" w:cs="Arial"/>
          <w:b/>
          <w:sz w:val="28"/>
          <w:szCs w:val="28"/>
        </w:rPr>
        <w:t>Практична</w:t>
      </w:r>
      <w:proofErr w:type="gramEnd"/>
      <w:r w:rsidRPr="00F474E1">
        <w:rPr>
          <w:rFonts w:ascii="Arial" w:hAnsi="Arial" w:cs="Arial"/>
          <w:b/>
          <w:sz w:val="28"/>
          <w:szCs w:val="28"/>
        </w:rPr>
        <w:t xml:space="preserve"> робота №2</w:t>
      </w:r>
    </w:p>
    <w:p w:rsidR="004101AA" w:rsidRPr="00C8685D" w:rsidRDefault="004101AA" w:rsidP="004101AA">
      <w:pPr>
        <w:pStyle w:val="a3"/>
        <w:spacing w:before="0" w:beforeAutospacing="0" w:after="0" w:afterAutospacing="0" w:line="288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8685D">
        <w:rPr>
          <w:rFonts w:ascii="Arial" w:hAnsi="Arial" w:cs="Arial"/>
          <w:b/>
          <w:sz w:val="28"/>
          <w:szCs w:val="28"/>
          <w:lang w:val="uk-UA"/>
        </w:rPr>
        <w:t>Технологія складування твердих відходів гірничодоб</w:t>
      </w:r>
      <w:r>
        <w:rPr>
          <w:rFonts w:ascii="Arial" w:hAnsi="Arial" w:cs="Arial"/>
          <w:b/>
          <w:sz w:val="28"/>
          <w:szCs w:val="28"/>
          <w:lang w:val="uk-UA"/>
        </w:rPr>
        <w:t>ув</w:t>
      </w:r>
      <w:r w:rsidRPr="00C8685D">
        <w:rPr>
          <w:rFonts w:ascii="Arial" w:hAnsi="Arial" w:cs="Arial"/>
          <w:b/>
          <w:sz w:val="28"/>
          <w:szCs w:val="28"/>
          <w:lang w:val="uk-UA"/>
        </w:rPr>
        <w:t>ного виробництва</w:t>
      </w:r>
      <w:r w:rsidR="00954338">
        <w:rPr>
          <w:rFonts w:ascii="Arial" w:hAnsi="Arial" w:cs="Arial"/>
          <w:b/>
          <w:sz w:val="28"/>
          <w:szCs w:val="28"/>
          <w:lang w:val="uk-UA"/>
        </w:rPr>
        <w:t>. Розрахунок санітарно-захисної зони вугільного терикону</w:t>
      </w:r>
      <w:bookmarkStart w:id="0" w:name="_GoBack"/>
      <w:bookmarkEnd w:id="0"/>
    </w:p>
    <w:p w:rsidR="004101AA" w:rsidRPr="00C8685D" w:rsidRDefault="004101AA" w:rsidP="004101AA">
      <w:pPr>
        <w:pStyle w:val="a3"/>
        <w:spacing w:before="0" w:beforeAutospacing="0" w:after="0" w:afterAutospacing="0" w:line="288" w:lineRule="auto"/>
        <w:rPr>
          <w:rFonts w:ascii="Arial" w:hAnsi="Arial" w:cs="Arial"/>
          <w:sz w:val="28"/>
          <w:szCs w:val="28"/>
          <w:lang w:val="uk-UA"/>
        </w:rPr>
      </w:pPr>
      <w:r w:rsidRPr="00C8685D">
        <w:rPr>
          <w:rFonts w:ascii="Arial" w:hAnsi="Arial" w:cs="Arial"/>
          <w:i/>
          <w:sz w:val="28"/>
          <w:szCs w:val="28"/>
          <w:u w:val="single"/>
          <w:lang w:val="uk-UA"/>
        </w:rPr>
        <w:t>Мета роботи</w:t>
      </w:r>
      <w:r w:rsidRPr="00C8685D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C8685D">
        <w:rPr>
          <w:rFonts w:ascii="Arial" w:hAnsi="Arial" w:cs="Arial"/>
          <w:sz w:val="28"/>
          <w:szCs w:val="28"/>
          <w:lang w:val="uk-UA"/>
        </w:rPr>
        <w:t>Ознайомлення студентів з технологією складування твердих відходів, яка застосовується у гірничодобувних вироб</w:t>
      </w:r>
      <w:r>
        <w:rPr>
          <w:rFonts w:ascii="Arial" w:hAnsi="Arial" w:cs="Arial"/>
          <w:sz w:val="28"/>
          <w:szCs w:val="28"/>
          <w:lang w:val="uk-UA"/>
        </w:rPr>
        <w:t>ництвах</w:t>
      </w:r>
    </w:p>
    <w:p w:rsidR="004101AA" w:rsidRPr="004101AA" w:rsidRDefault="004101AA" w:rsidP="004101AA">
      <w:pPr>
        <w:pStyle w:val="a3"/>
        <w:spacing w:before="0" w:beforeAutospacing="0" w:after="0" w:afterAutospacing="0" w:line="288" w:lineRule="auto"/>
        <w:jc w:val="center"/>
        <w:rPr>
          <w:rFonts w:ascii="Arial" w:hAnsi="Arial" w:cs="Arial"/>
          <w:b/>
          <w:i/>
          <w:sz w:val="28"/>
          <w:szCs w:val="28"/>
          <w:u w:val="single"/>
          <w:lang w:val="uk-UA"/>
        </w:rPr>
      </w:pPr>
      <w:r w:rsidRPr="004101AA">
        <w:rPr>
          <w:rFonts w:ascii="Arial" w:hAnsi="Arial" w:cs="Arial"/>
          <w:i/>
          <w:sz w:val="28"/>
          <w:szCs w:val="28"/>
          <w:u w:val="single"/>
          <w:lang w:val="uk-UA"/>
        </w:rPr>
        <w:t>Теоретична частина</w:t>
      </w:r>
      <w:r w:rsidRPr="004101AA">
        <w:rPr>
          <w:rFonts w:ascii="Arial" w:hAnsi="Arial" w:cs="Arial"/>
          <w:b/>
          <w:i/>
          <w:sz w:val="28"/>
          <w:szCs w:val="28"/>
          <w:u w:val="single"/>
          <w:lang w:val="uk-UA"/>
        </w:rPr>
        <w:t>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В залежності від стану твердих відходів, що утворюються, розрізняють гідравлічний і сухий способи складування.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Гідравлічний спосіб застосовують для відходів, що утвор</w:t>
      </w:r>
      <w:r>
        <w:rPr>
          <w:rFonts w:ascii="Arial" w:hAnsi="Arial" w:cs="Arial"/>
          <w:sz w:val="28"/>
          <w:szCs w:val="28"/>
          <w:lang w:val="uk-UA"/>
        </w:rPr>
        <w:t>юю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ться при мокрому способі збагачення: пилу та золи ТЕС, </w:t>
      </w:r>
      <w:r>
        <w:rPr>
          <w:rFonts w:ascii="Arial" w:hAnsi="Arial" w:cs="Arial"/>
          <w:sz w:val="28"/>
          <w:szCs w:val="28"/>
          <w:lang w:val="uk-UA"/>
        </w:rPr>
        <w:t>які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 уловлюються мокрим способом; шламів і інших промислових відходів, що знаходяться в насиченому водою стані. Цей спосіб полягає в транспортуванні пульпи по трубопроводах (пульпо</w:t>
      </w:r>
      <w:r>
        <w:rPr>
          <w:rFonts w:ascii="Arial" w:hAnsi="Arial" w:cs="Arial"/>
          <w:sz w:val="28"/>
          <w:szCs w:val="28"/>
          <w:lang w:val="uk-UA"/>
        </w:rPr>
        <w:t>про</w:t>
      </w:r>
      <w:r w:rsidRPr="00FB51D1">
        <w:rPr>
          <w:rFonts w:ascii="Arial" w:hAnsi="Arial" w:cs="Arial"/>
          <w:sz w:val="28"/>
          <w:szCs w:val="28"/>
          <w:lang w:val="uk-UA"/>
        </w:rPr>
        <w:t>вода</w:t>
      </w:r>
      <w:r>
        <w:rPr>
          <w:rFonts w:ascii="Arial" w:hAnsi="Arial" w:cs="Arial"/>
          <w:sz w:val="28"/>
          <w:szCs w:val="28"/>
          <w:lang w:val="uk-UA"/>
        </w:rPr>
        <w:t>х</w:t>
      </w:r>
      <w:r w:rsidRPr="00FB51D1">
        <w:rPr>
          <w:rFonts w:ascii="Arial" w:hAnsi="Arial" w:cs="Arial"/>
          <w:sz w:val="28"/>
          <w:szCs w:val="28"/>
          <w:lang w:val="uk-UA"/>
        </w:rPr>
        <w:t>) за допомогою насосів і випуску її в сховище.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>Пульпою називається суміш твердих часток і води. Основною характеристикою її є консистенція — співвідношення маси твердих часток і рідини, що залежить від типу відходів, технології утворення і може коливатися у великих межах, наприклад, від 1:1 до 1:30 і більше.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>При гідравлічному способі складування с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ховища </w:t>
      </w:r>
      <w:r>
        <w:rPr>
          <w:rFonts w:ascii="Arial" w:hAnsi="Arial" w:cs="Arial"/>
          <w:sz w:val="28"/>
          <w:szCs w:val="28"/>
          <w:lang w:val="uk-UA"/>
        </w:rPr>
        <w:t xml:space="preserve">відходів можуть бути у вигляді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гідровідвалів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хвостосховищ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шламосховищ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шлам</w:t>
      </w:r>
      <w:r>
        <w:rPr>
          <w:rFonts w:ascii="Arial" w:hAnsi="Arial" w:cs="Arial"/>
          <w:sz w:val="28"/>
          <w:szCs w:val="28"/>
          <w:lang w:val="uk-UA"/>
        </w:rPr>
        <w:t>онакопичувачів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 xml:space="preserve"> тощо. В залежності від топографічних умов місцевості розрізняють наступні типи сховищ: балкові, заплавні, </w:t>
      </w:r>
      <w:proofErr w:type="spellStart"/>
      <w:r w:rsidRPr="00FB51D1">
        <w:rPr>
          <w:rFonts w:ascii="Arial" w:hAnsi="Arial" w:cs="Arial"/>
          <w:sz w:val="28"/>
          <w:szCs w:val="28"/>
          <w:lang w:val="uk-UA"/>
        </w:rPr>
        <w:t>косог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FB51D1">
        <w:rPr>
          <w:rFonts w:ascii="Arial" w:hAnsi="Arial" w:cs="Arial"/>
          <w:sz w:val="28"/>
          <w:szCs w:val="28"/>
          <w:lang w:val="uk-UA"/>
        </w:rPr>
        <w:t>рні</w:t>
      </w:r>
      <w:proofErr w:type="spellEnd"/>
      <w:r w:rsidRPr="00FB51D1">
        <w:rPr>
          <w:rFonts w:ascii="Arial" w:hAnsi="Arial" w:cs="Arial"/>
          <w:sz w:val="28"/>
          <w:szCs w:val="28"/>
          <w:lang w:val="uk-UA"/>
        </w:rPr>
        <w:t>, рівнинні, котловинні.</w:t>
      </w:r>
    </w:p>
    <w:p w:rsidR="004101AA" w:rsidRPr="00FB51D1" w:rsidRDefault="004101AA" w:rsidP="004101AA">
      <w:pPr>
        <w:spacing w:line="288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FB51D1">
        <w:rPr>
          <w:rFonts w:ascii="Arial" w:hAnsi="Arial" w:cs="Arial"/>
          <w:sz w:val="28"/>
          <w:szCs w:val="28"/>
          <w:lang w:val="uk-UA"/>
        </w:rPr>
        <w:t xml:space="preserve">Сховища відходів займають великі території, нерідко сільськогосподарських земель, у них відбувається </w:t>
      </w:r>
      <w:r>
        <w:rPr>
          <w:rFonts w:ascii="Arial" w:hAnsi="Arial" w:cs="Arial"/>
          <w:sz w:val="28"/>
          <w:szCs w:val="28"/>
          <w:lang w:val="uk-UA"/>
        </w:rPr>
        <w:t>винос пилу з</w:t>
      </w:r>
      <w:r w:rsidRPr="00FB51D1">
        <w:rPr>
          <w:rFonts w:ascii="Arial" w:hAnsi="Arial" w:cs="Arial"/>
          <w:sz w:val="28"/>
          <w:szCs w:val="28"/>
          <w:lang w:val="uk-UA"/>
        </w:rPr>
        <w:t xml:space="preserve"> підсохлих поверхонь надводних пляжів, спостерігається підтоплення прилеглих територій і забруднення підземних вод. Для боротьби з розпиленням поверхонь передбачають їхнє зрошення й обводнювання, намиви глинистих екранів та хімічне закріплення відходів, що порошать. Для захисту від підтоплення влаштовують канави, подовжні дренажі. Для захисту підземних вод від забруднення передбачають протифільтраційні заходи.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 xml:space="preserve">Породи, що йдуть у відвал, утворюються за рахунок проходки виробок (52%) і їх ремонту (48%). Такі "пусті" породи складуються поблизу стовбурів шахт у вигляді териконів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-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штучний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насип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порожніх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порід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витягнутих 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підземній розробці родовищ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вугілля та інших корисних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копалин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 висотою до 60-</w:t>
      </w:r>
      <w:smartTag w:uri="urn:schemas-microsoft-com:office:smarttags" w:element="metricconverter">
        <w:smartTagPr>
          <w:attr w:name="ProductID" w:val="8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80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і відвалів хребтової форми (у сумі 92%), рідше - плоских відвалів (8%).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Як приклад, розглянемо шахтні терикони при видобутку вугілля.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Середній літологічний склад відвалів відображає склад вугленосної товщі. Це аргіліти (60-80%), алевроліти (10-30%), пісковики (4-10%), вапняки (рідко до 6%, зазвичай менше), а також значні домішки вугілля (6-20%). Крім того, відвали містять істотну частку техногенних матеріалів - дерев'яного кріплення, металевих виробів, проводів та ін.  </w:t>
      </w:r>
      <w:r>
        <w:rPr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еликі і важкі уламки концентруються біля підніжжя відвалів, а вуглиста речовина розподіляється нерівномірно. Найменшу зольність мають породи в середній по висоті частині відвалу, до вершини і основи вона підвищується. Відвальна маса вивчених шахтних териконів має зольність у межах 57-99%, становлячи в середньому 88, 5%. Волог</w:t>
      </w:r>
      <w:r>
        <w:rPr>
          <w:rFonts w:ascii="Arial" w:hAnsi="Arial" w:cs="Arial"/>
          <w:color w:val="333333"/>
          <w:sz w:val="28"/>
          <w:szCs w:val="28"/>
          <w:lang w:val="uk-UA"/>
        </w:rPr>
        <w:t>ість змінюється від 0,2% до 11,7%, складаючи в середньому 3,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4%. </w:t>
      </w:r>
      <w:r w:rsidR="00986BC2">
        <w:rPr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міст загальної сірк</w:t>
      </w:r>
      <w:r>
        <w:rPr>
          <w:rFonts w:ascii="Arial" w:hAnsi="Arial" w:cs="Arial"/>
          <w:color w:val="333333"/>
          <w:sz w:val="28"/>
          <w:szCs w:val="28"/>
          <w:lang w:val="uk-UA"/>
        </w:rPr>
        <w:t>и у відвалах коливається від 0,01% до 10,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9%. У складі загальної сірки переважає сірка сульфідна (84%).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Порода,</w:t>
      </w:r>
      <w:r w:rsidRPr="00EE53E2">
        <w:rPr>
          <w:rFonts w:ascii="Arial" w:hAnsi="Arial" w:cs="Arial"/>
          <w:color w:val="333333"/>
          <w:sz w:val="28"/>
          <w:szCs w:val="28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яка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видана </w:t>
      </w:r>
      <w:r>
        <w:rPr>
          <w:rFonts w:ascii="Arial" w:hAnsi="Arial" w:cs="Arial"/>
          <w:color w:val="333333"/>
          <w:sz w:val="28"/>
          <w:szCs w:val="28"/>
          <w:lang w:val="uk-UA"/>
        </w:rPr>
        <w:t>на поверхню з шахти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і/або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отримана в результаті сортування вугілля на поверхні, надходить у завантажувальний породний бункер 1, звідки через затвор 2, обладнаний приводом 3 і пусковою апаратурою 4, завантажується в транспортн</w:t>
      </w:r>
      <w:r>
        <w:rPr>
          <w:rFonts w:ascii="Arial" w:hAnsi="Arial" w:cs="Arial"/>
          <w:color w:val="333333"/>
          <w:sz w:val="28"/>
          <w:szCs w:val="28"/>
          <w:lang w:val="uk-UA"/>
        </w:rPr>
        <w:t>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посудину - вагонетку 5. Після завантаження вагонетка направляється на відвал 6 для розвантаження.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Переміщення вагонетки по відвалу здійснюється за допомогою маневрової лебідки 7, керованої оператором дистанційно за допомогою кнопкового поста 8, схеми управління 9 і магнітної станції 10. До складу 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схеми управління входить керуючий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апарат і реле розгону для завдання потрібної циклограми руху </w:t>
      </w:r>
      <w:r>
        <w:rPr>
          <w:rFonts w:ascii="Arial" w:hAnsi="Arial" w:cs="Arial"/>
          <w:color w:val="333333"/>
          <w:sz w:val="28"/>
          <w:szCs w:val="28"/>
          <w:lang w:val="uk-UA"/>
        </w:rPr>
        <w:t>вагонетки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Дистанційно управляється і затвор бункера, що забезпечує завантаження вагонетки. Для установки приводу затвора в двох положеннях ("відкрито" - "закрито") в схемі використовуються кінцеві вимикачі Д1 і Д2, а для направлення тягового каната 11 </w:t>
      </w:r>
      <w:r>
        <w:rPr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його намотуванні на барабан маневрової лебідки застосований обвідний ролик 12, встановлений на розвантажувальн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стрілі 13 терикону.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Управління роботою затвора і маневрової лебідки зараз ведеться на основі візуального контролю місцезнаходження вагонетки, рівня </w:t>
      </w:r>
      <w:r>
        <w:rPr>
          <w:rFonts w:ascii="Arial" w:hAnsi="Arial" w:cs="Arial"/>
          <w:color w:val="333333"/>
          <w:sz w:val="28"/>
          <w:szCs w:val="28"/>
          <w:lang w:val="uk-UA"/>
        </w:rPr>
        <w:t>її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завантаження та наявності породи в бункері. </w:t>
      </w:r>
      <w:r>
        <w:rPr>
          <w:rFonts w:ascii="Arial" w:hAnsi="Arial" w:cs="Arial"/>
          <w:color w:val="333333"/>
          <w:sz w:val="28"/>
          <w:szCs w:val="28"/>
          <w:lang w:val="uk-UA"/>
        </w:rPr>
        <w:t>Разом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 тим візуальний контроль в більшості випадків утруднений у силу ряду об'єктивних і суб'єктивних факторів.</w:t>
      </w:r>
      <w:r w:rsidRPr="001927F0">
        <w:rPr>
          <w:rFonts w:ascii="Arial" w:hAnsi="Arial" w:cs="Arial"/>
          <w:i/>
          <w:noProof/>
          <w:sz w:val="28"/>
          <w:szCs w:val="28"/>
        </w:rPr>
        <w:t xml:space="preserve"> </w:t>
      </w:r>
      <w:r w:rsidRPr="00690A01">
        <w:rPr>
          <w:rFonts w:ascii="Arial" w:hAnsi="Arial" w:cs="Arial"/>
          <w:noProof/>
          <w:sz w:val="28"/>
          <w:szCs w:val="28"/>
          <w:lang w:val="uk-UA"/>
        </w:rPr>
        <w:t>Д</w:t>
      </w:r>
      <w:proofErr w:type="spellStart"/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оцільно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розміщувати породні відвали у балках, ярах і відпрацьованих кар'єрах, із забезпеченням відводу та перепуску дощових і паводкових вод. Розміщуватися вони повинні з підвітряного боку (для вітрів переважаючого напрямку) житлових будинків, будівель громадського та комунального значення, а також стволів (шурфів), при відстані до останніх не менше </w:t>
      </w:r>
      <w:smartTag w:uri="urn:schemas-microsoft-com:office:smarttags" w:element="metricconverter">
        <w:smartTagPr>
          <w:attr w:name="ProductID" w:val="20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200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627120" cy="3817620"/>
            <wp:effectExtent l="19050" t="0" r="0" b="0"/>
            <wp:docPr id="1" name="Рисунок 11" descr="http://masters.donntu.edu.ua/2004/fema/kovalenko/diss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masters.donntu.edu.ua/2004/fema/kovalenko/diss/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381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1AA" w:rsidRPr="00B82C43" w:rsidRDefault="004101AA" w:rsidP="004101AA">
      <w:pPr>
        <w:spacing w:line="288" w:lineRule="auto"/>
        <w:ind w:left="720"/>
        <w:jc w:val="center"/>
        <w:rPr>
          <w:rStyle w:val="hps"/>
          <w:rFonts w:ascii="Arial" w:hAnsi="Arial" w:cs="Arial"/>
          <w:color w:val="333333"/>
          <w:lang w:val="uk-UA"/>
        </w:rPr>
      </w:pPr>
      <w:r w:rsidRPr="00B82C43">
        <w:rPr>
          <w:rStyle w:val="hps"/>
          <w:rFonts w:ascii="Arial" w:hAnsi="Arial" w:cs="Arial"/>
          <w:color w:val="333333"/>
          <w:lang w:val="uk-UA"/>
        </w:rPr>
        <w:t>Технологічна схема</w:t>
      </w:r>
      <w:r w:rsidRPr="00B82C43">
        <w:rPr>
          <w:rFonts w:ascii="Arial" w:hAnsi="Arial" w:cs="Arial"/>
          <w:color w:val="333333"/>
          <w:lang w:val="uk-UA"/>
        </w:rPr>
        <w:t xml:space="preserve"> </w:t>
      </w:r>
      <w:r w:rsidRPr="00B82C43">
        <w:rPr>
          <w:rStyle w:val="hps"/>
          <w:rFonts w:ascii="Arial" w:hAnsi="Arial" w:cs="Arial"/>
          <w:color w:val="333333"/>
          <w:lang w:val="uk-UA"/>
        </w:rPr>
        <w:t>доставки</w:t>
      </w:r>
      <w:r w:rsidRPr="00B82C43">
        <w:rPr>
          <w:rFonts w:ascii="Arial" w:hAnsi="Arial" w:cs="Arial"/>
          <w:color w:val="333333"/>
          <w:lang w:val="uk-UA"/>
        </w:rPr>
        <w:t xml:space="preserve"> </w:t>
      </w:r>
      <w:r w:rsidRPr="00B82C43">
        <w:rPr>
          <w:rStyle w:val="hps"/>
          <w:rFonts w:ascii="Arial" w:hAnsi="Arial" w:cs="Arial"/>
          <w:color w:val="333333"/>
          <w:lang w:val="uk-UA"/>
        </w:rPr>
        <w:t>породи</w:t>
      </w:r>
      <w:r w:rsidRPr="00B82C43">
        <w:rPr>
          <w:rFonts w:ascii="Arial" w:hAnsi="Arial" w:cs="Arial"/>
          <w:color w:val="333333"/>
          <w:lang w:val="uk-UA"/>
        </w:rPr>
        <w:t xml:space="preserve"> до </w:t>
      </w:r>
      <w:r w:rsidRPr="00B82C43">
        <w:rPr>
          <w:rStyle w:val="hps"/>
          <w:rFonts w:ascii="Arial" w:hAnsi="Arial" w:cs="Arial"/>
          <w:color w:val="333333"/>
          <w:lang w:val="uk-UA"/>
        </w:rPr>
        <w:t>відвал</w:t>
      </w:r>
      <w:r w:rsidR="00796AD9">
        <w:rPr>
          <w:rStyle w:val="hps"/>
          <w:rFonts w:ascii="Arial" w:hAnsi="Arial" w:cs="Arial"/>
          <w:color w:val="333333"/>
          <w:lang w:val="uk-UA"/>
        </w:rPr>
        <w:t>у</w:t>
      </w:r>
    </w:p>
    <w:p w:rsidR="004101AA" w:rsidRPr="00B82C43" w:rsidRDefault="004101AA" w:rsidP="004101AA">
      <w:pPr>
        <w:spacing w:line="288" w:lineRule="auto"/>
        <w:ind w:left="720"/>
        <w:jc w:val="center"/>
        <w:rPr>
          <w:rFonts w:ascii="Arial" w:hAnsi="Arial" w:cs="Arial"/>
        </w:rPr>
      </w:pP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Ширина санітарно-захисної зони навколо відвалів повинна бути не менше </w:t>
      </w:r>
      <w:smartTag w:uri="urn:schemas-microsoft-com:office:smarttags" w:element="metricconverter">
        <w:smartTagPr>
          <w:attr w:name="ProductID" w:val="50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500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У цій зоні забороняється будівництво лікувально-профілактичних і культурно-побутових будівель.  </w:t>
      </w:r>
      <w:r>
        <w:rPr>
          <w:rFonts w:ascii="Arial" w:hAnsi="Arial" w:cs="Arial"/>
          <w:color w:val="333333"/>
          <w:sz w:val="28"/>
          <w:szCs w:val="28"/>
          <w:lang w:val="uk-UA"/>
        </w:rPr>
        <w:t>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рім того, навколо відвала висотою більше </w:t>
      </w:r>
      <w:smartTag w:uri="urn:schemas-microsoft-com:office:smarttags" w:element="metricconverter">
        <w:smartTagPr>
          <w:attr w:name="ProductID" w:val="1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10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встановлюється механічна захисна зона,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ширина якої розраховується за спеціальною формулою. У цій зоні забороняється розміщувати житлові, виробничі та інші будівлі і споруди (крім будівель і споруд, пов'язаних з експлуатацією відвалів).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У межах механічної захисної зони, але не ближче </w:t>
      </w:r>
      <w:smartTag w:uri="urn:schemas-microsoft-com:office:smarttags" w:element="metricconverter">
        <w:smartTagPr>
          <w:attr w:name="ProductID" w:val="50 м"/>
        </w:smartTagPr>
        <w:r w:rsidRPr="001927F0">
          <w:rPr>
            <w:rFonts w:ascii="Arial" w:hAnsi="Arial" w:cs="Arial"/>
            <w:color w:val="333333"/>
            <w:sz w:val="28"/>
            <w:szCs w:val="28"/>
            <w:lang w:val="uk-UA"/>
          </w:rPr>
          <w:t>50 м</w:t>
        </w:r>
      </w:smartTag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від проектного контур</w:t>
      </w:r>
      <w:r>
        <w:rPr>
          <w:rFonts w:ascii="Arial" w:hAnsi="Arial" w:cs="Arial"/>
          <w:color w:val="333333"/>
          <w:sz w:val="28"/>
          <w:szCs w:val="28"/>
          <w:lang w:val="uk-UA"/>
        </w:rPr>
        <w:t>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відвалів (або фактичного - для зупинених відвалів), дозволяється розміщувати лише інженерні комунікації.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ксимальна висота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породних відвалів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визначається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умов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стійкості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їхніх укосів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несучої здатності основи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3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середині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шахт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 гірничо-збагачувальних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фабрик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нерідко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lang w:val="uk-UA"/>
        </w:rPr>
        <w:t>відбуваються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різн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процес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техногенного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пірометаморфізма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>: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згоряння 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зони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окислювальним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режимом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випалу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піроліз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зони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відновного випалу</w:t>
      </w:r>
      <w:r w:rsidRPr="001927F0">
        <w:rPr>
          <w:rStyle w:val="atn"/>
          <w:rFonts w:ascii="Arial" w:hAnsi="Arial" w:cs="Arial"/>
          <w:color w:val="333333"/>
          <w:sz w:val="28"/>
          <w:szCs w:val="28"/>
          <w:lang w:val="uk-UA"/>
        </w:rPr>
        <w:t>) 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800-1000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реакції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дегідратації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шаруватих силікатів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>
        <w:rPr>
          <w:rFonts w:ascii="Arial" w:hAnsi="Arial" w:cs="Arial"/>
          <w:color w:val="333333"/>
          <w:sz w:val="28"/>
          <w:szCs w:val="28"/>
          <w:lang w:val="uk-UA"/>
        </w:rPr>
        <w:t>які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мають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наслідком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масове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випаровування води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також видалення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F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Cl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початкових етапах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горіння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600-700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розкладання карбонатів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видаленням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СО2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й утворенням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періоклаза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вапна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феритів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600-800 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101AA" w:rsidRPr="001927F0" w:rsidRDefault="004101AA" w:rsidP="004101AA">
      <w:pPr>
        <w:pStyle w:val="a3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локальне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плавлення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утворенням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осколкових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клінкерів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базальтових сплавів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=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1000-1250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°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).</w:t>
      </w:r>
    </w:p>
    <w:p w:rsidR="004101AA" w:rsidRPr="001927F0" w:rsidRDefault="004101AA" w:rsidP="004101AA">
      <w:pPr>
        <w:pStyle w:val="a3"/>
        <w:spacing w:before="0" w:beforeAutospacing="0" w:after="0" w:afterAutospacing="0"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Ці процеси призводять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до радикальної зміни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фазового складу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відвальної маси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та мож</w:t>
      </w:r>
      <w:r>
        <w:rPr>
          <w:rFonts w:ascii="Arial" w:hAnsi="Arial" w:cs="Arial"/>
          <w:color w:val="333333"/>
          <w:sz w:val="28"/>
          <w:szCs w:val="28"/>
          <w:lang w:val="uk-UA"/>
        </w:rPr>
        <w:t>уть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бути причиною самозаймання. Основними причинами самозаймання породних відвалів є: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н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аявність матеріалу, здатного окислюватися (самозайматися);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роникнення кисню повітря вглиб масиву;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труднений відвід тепла з місця самонагрівання.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i/>
          <w:noProof/>
          <w:sz w:val="28"/>
          <w:szCs w:val="28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У відвальн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 п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ородн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масі міститься </w:t>
      </w:r>
      <w:r>
        <w:rPr>
          <w:rFonts w:ascii="Arial" w:hAnsi="Arial" w:cs="Arial"/>
          <w:color w:val="333333"/>
          <w:sz w:val="28"/>
          <w:szCs w:val="28"/>
          <w:lang w:val="uk-UA"/>
        </w:rPr>
        <w:t>до 20%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вугілля</w:t>
      </w:r>
      <w:r>
        <w:rPr>
          <w:rFonts w:ascii="Arial" w:hAnsi="Arial" w:cs="Arial"/>
          <w:color w:val="333333"/>
          <w:sz w:val="28"/>
          <w:szCs w:val="28"/>
          <w:lang w:val="uk-UA"/>
        </w:rPr>
        <w:t>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а також до 12%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сірчистих </w:t>
      </w:r>
      <w:r>
        <w:rPr>
          <w:rFonts w:ascii="Arial" w:hAnsi="Arial" w:cs="Arial"/>
          <w:color w:val="333333"/>
          <w:sz w:val="28"/>
          <w:szCs w:val="28"/>
          <w:lang w:val="uk-UA"/>
        </w:rPr>
        <w:t>сполук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 Отже, третина всієї маси відвалу,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іноді і більше, здатна брати участь в окислювальних процесах.</w:t>
      </w:r>
      <w:r w:rsidRPr="001927F0">
        <w:rPr>
          <w:rFonts w:ascii="Arial" w:hAnsi="Arial" w:cs="Arial"/>
          <w:i/>
          <w:noProof/>
          <w:sz w:val="28"/>
          <w:szCs w:val="28"/>
        </w:rPr>
        <w:t xml:space="preserve"> 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Основними напрямками попередження самозаймання породних відвалів є: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ниження вмісту горючих речовин у відвальн</w:t>
      </w:r>
      <w:r>
        <w:rPr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мас</w:t>
      </w:r>
      <w:r>
        <w:rPr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за рахунок поліпшення технології виїмки вугілля і його збагачення;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i/>
          <w:noProof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- с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творення щільних повітронепроникних відвалів шляхом пошарового складування порід, їх перешаровування і ущільнення, замулювання 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lastRenderedPageBreak/>
        <w:t>або засипання нижніх пористих частин відвалів негорючими матеріалами.</w:t>
      </w:r>
      <w:r w:rsidRPr="001927F0">
        <w:rPr>
          <w:rFonts w:ascii="Arial" w:hAnsi="Arial" w:cs="Arial"/>
          <w:i/>
          <w:noProof/>
          <w:sz w:val="28"/>
          <w:szCs w:val="28"/>
          <w:lang w:val="uk-UA"/>
        </w:rPr>
        <w:t xml:space="preserve"> </w:t>
      </w:r>
    </w:p>
    <w:p w:rsidR="004101AA" w:rsidRPr="001927F0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Зниження ймовірності самозаймання може також досягатися зменшенням хімічної активності відвальної маси шляхом обробки її інгібіторами - антипірогенами, тобто речовинами, які покривають поверхні відвалу захисними плівками.</w:t>
      </w:r>
    </w:p>
    <w:p w:rsidR="004101AA" w:rsidRPr="001927F0" w:rsidRDefault="004101AA" w:rsidP="004101AA">
      <w:pPr>
        <w:spacing w:line="288" w:lineRule="auto"/>
        <w:jc w:val="both"/>
        <w:rPr>
          <w:rFonts w:ascii="Arial" w:hAnsi="Arial" w:cs="Arial"/>
          <w:i/>
          <w:noProof/>
          <w:sz w:val="28"/>
          <w:szCs w:val="28"/>
          <w:lang w:val="uk-UA"/>
        </w:rPr>
      </w:pP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noProof/>
          <w:color w:val="333333"/>
          <w:sz w:val="28"/>
          <w:szCs w:val="28"/>
        </w:rPr>
        <w:drawing>
          <wp:inline distT="0" distB="0" distL="0" distR="0">
            <wp:extent cx="3261360" cy="281178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81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Fonts w:ascii="Arial" w:hAnsi="Arial" w:cs="Arial"/>
          <w:color w:val="333333"/>
          <w:sz w:val="28"/>
          <w:szCs w:val="28"/>
          <w:lang w:val="uk-UA"/>
        </w:rPr>
        <w:t>1 – гірська порода</w:t>
      </w:r>
    </w:p>
    <w:p w:rsidR="004101AA" w:rsidRPr="001927F0" w:rsidRDefault="004101AA" w:rsidP="004101AA">
      <w:pPr>
        <w:spacing w:line="288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2- протипожежні з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аходи</w:t>
      </w:r>
    </w:p>
    <w:p w:rsidR="004101AA" w:rsidRPr="001927F0" w:rsidRDefault="004101AA" w:rsidP="004101AA">
      <w:pPr>
        <w:spacing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bookmarkStart w:id="1" w:name="name2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 Основними напрямами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можливого використання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породи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відвалів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є: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Спалювання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 якості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палива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подальшою утилізацією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утвор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ених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золошлакових</w:t>
      </w:r>
      <w:proofErr w:type="spellEnd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відходів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при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вмісті вуглецю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більше 20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%).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виробництві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аглопориту,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керамзиту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будівельної кераміки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тонкої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кераміки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proofErr w:type="spellStart"/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кремн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ій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алюміні</w:t>
      </w: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вих</w:t>
      </w:r>
      <w:proofErr w:type="spellEnd"/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сплавів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вогнетривких матеріалів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Аглопорит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керамзит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-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це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штучні пористі заповнювачі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 вигляді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="00E42DB8"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щебню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 або гравію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,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одержувані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термічною обробкою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відходів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видобутку, збагачення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чи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спалювання вугілля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подальшим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їх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подрібненням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Застосовуються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виготовленні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легких бетонів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дорожнього будівництва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як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ґрунтовий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матеріал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земляного полотна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або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щебінь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556D61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556D6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Виділення</w:t>
      </w:r>
      <w:r w:rsidRPr="00556D61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556D61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колчедану</w:t>
      </w:r>
      <w:r w:rsidRPr="00556D61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lastRenderedPageBreak/>
        <w:t>Збагачення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для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одержання енергетичного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палива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1927F0" w:rsidRDefault="004101AA" w:rsidP="004101AA">
      <w:pPr>
        <w:pStyle w:val="a4"/>
        <w:numPr>
          <w:ilvl w:val="0"/>
          <w:numId w:val="2"/>
        </w:numPr>
        <w:spacing w:after="0" w:line="288" w:lineRule="auto"/>
        <w:jc w:val="both"/>
        <w:rPr>
          <w:rStyle w:val="hps"/>
          <w:rFonts w:ascii="Arial" w:hAnsi="Arial" w:cs="Arial"/>
          <w:color w:val="333333"/>
          <w:sz w:val="28"/>
          <w:szCs w:val="28"/>
          <w:lang w:val="uk-UA"/>
        </w:rPr>
      </w:pPr>
      <w:r>
        <w:rPr>
          <w:rStyle w:val="hps"/>
          <w:rFonts w:ascii="Arial" w:hAnsi="Arial" w:cs="Arial"/>
          <w:color w:val="333333"/>
          <w:sz w:val="28"/>
          <w:szCs w:val="28"/>
          <w:lang w:val="uk-UA"/>
        </w:rPr>
        <w:t xml:space="preserve">Застосування у вигляді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насипних ґрунтів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(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дамби, вертикальне планування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тощо)</w:t>
      </w:r>
    </w:p>
    <w:bookmarkEnd w:id="1"/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процесі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рекультивації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земель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є об'єктами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озеленення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та залісення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.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них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у великій кількості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розсаджують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дерева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з метою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призупинити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руйнування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териконів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від впливу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руйнуючих факторів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 xml:space="preserve"> </w:t>
      </w:r>
      <w:r w:rsidRPr="001927F0">
        <w:rPr>
          <w:rStyle w:val="hps"/>
          <w:rFonts w:ascii="Arial" w:hAnsi="Arial" w:cs="Arial"/>
          <w:color w:val="333333"/>
          <w:sz w:val="28"/>
          <w:szCs w:val="28"/>
          <w:lang w:val="uk-UA"/>
        </w:rPr>
        <w:t>погодних умов</w:t>
      </w:r>
      <w:r w:rsidRPr="001927F0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Pr="00A7318C" w:rsidRDefault="004101AA" w:rsidP="004101AA">
      <w:pPr>
        <w:spacing w:line="288" w:lineRule="auto"/>
        <w:ind w:firstLine="567"/>
        <w:jc w:val="both"/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</w:pPr>
      <w:r>
        <w:rPr>
          <w:rFonts w:ascii="Arial" w:hAnsi="Arial" w:cs="Arial"/>
          <w:i/>
          <w:color w:val="333333"/>
          <w:sz w:val="28"/>
          <w:szCs w:val="28"/>
          <w:u w:val="single"/>
          <w:lang w:val="uk-UA"/>
        </w:rPr>
        <w:t>Виконання роботи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За даними, наданими викладачем, визначити основні необхідні параметри терикона конічної форми: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1) Площу нижньої основи терикону;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2) Об’єм терикону;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3) Площу бокової поверхні терикона;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4) Розмір санітарно-захисної зони.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Дослідженнями </w:t>
      </w:r>
      <w:proofErr w:type="spellStart"/>
      <w:r>
        <w:rPr>
          <w:rFonts w:ascii="Arial" w:hAnsi="Arial" w:cs="Arial"/>
          <w:color w:val="333333"/>
          <w:sz w:val="28"/>
          <w:szCs w:val="28"/>
          <w:lang w:val="uk-UA"/>
        </w:rPr>
        <w:t>ДонНТУ</w:t>
      </w:r>
      <w:proofErr w:type="spellEnd"/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встановлені залежності параметрів конічного терикону від його висоти </w:t>
      </w:r>
      <w:r w:rsidRPr="000E341C">
        <w:rPr>
          <w:rFonts w:ascii="Arial" w:hAnsi="Arial" w:cs="Arial"/>
          <w:i/>
          <w:color w:val="333333"/>
          <w:sz w:val="28"/>
          <w:szCs w:val="28"/>
          <w:lang w:val="uk-UA"/>
        </w:rPr>
        <w:t>Н</w:t>
      </w:r>
      <w:r w:rsidRPr="000E341C">
        <w:rPr>
          <w:rFonts w:ascii="Arial" w:hAnsi="Arial" w:cs="Arial"/>
          <w:i/>
          <w:color w:val="333333"/>
          <w:sz w:val="28"/>
          <w:szCs w:val="28"/>
          <w:vertAlign w:val="subscript"/>
          <w:lang w:val="uk-UA"/>
        </w:rPr>
        <w:t>і</w:t>
      </w:r>
      <w:r>
        <w:rPr>
          <w:rFonts w:ascii="Arial" w:hAnsi="Arial" w:cs="Arial"/>
          <w:color w:val="333333"/>
          <w:sz w:val="28"/>
          <w:szCs w:val="28"/>
          <w:lang w:val="uk-UA"/>
        </w:rPr>
        <w:t>: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Площа основи терикону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осн.тер.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=-0.036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+13.121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-260.03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+2881.7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Об’єм терикону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тер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=2.0986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+162.1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-2806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+28200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Площа бокової поверхні терикону є показником ступеня його екологічної небезпеки і визначається з виразу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=-0.0228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3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+13.059</m:t>
          </m:r>
          <m:sSubSup>
            <m:sSub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b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-203.1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i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+2517.7</m:t>
          </m:r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Оскільки у більшості випадків конічні терикони мають неправильну форму, застосовують поправкові коефіцієнти і площа бокової поверхні визначається як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н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бок.пов.</m:t>
              </m:r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i</m:t>
              </m:r>
            </m:sub>
          </m:sSub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Розмір санітарно-захисної зони (СЗЗ) встановлюється на основі СанПіН2.2.1/2.1.1.1200-03 і становить 500 м для палаючих териконів і 300 м для непалаючих териконів. 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Зазвичай терикон розглядають як точковий об’єкт забруднення. Але його потрібно розглядати як просторовий об’єкт забруднення навколишнього середовища, що має площу і об’єм. Звідси випливає, </w:t>
      </w:r>
      <w:r>
        <w:rPr>
          <w:rFonts w:ascii="Arial" w:hAnsi="Arial" w:cs="Arial"/>
          <w:color w:val="333333"/>
          <w:sz w:val="28"/>
          <w:szCs w:val="28"/>
          <w:lang w:val="uk-UA"/>
        </w:rPr>
        <w:lastRenderedPageBreak/>
        <w:t xml:space="preserve">що його санітарно-захисна зона буде більшою, ніж встановлено </w:t>
      </w:r>
      <w:proofErr w:type="spellStart"/>
      <w:r>
        <w:rPr>
          <w:rFonts w:ascii="Arial" w:hAnsi="Arial" w:cs="Arial"/>
          <w:color w:val="333333"/>
          <w:sz w:val="28"/>
          <w:szCs w:val="28"/>
          <w:lang w:val="uk-UA"/>
        </w:rPr>
        <w:t>СанПін</w:t>
      </w:r>
      <w:proofErr w:type="spellEnd"/>
      <w:r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Для розрахунків реальної СЗЗ будемо вважати, що основа терикона має форму круга. Звідси знайдемо його радіус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осн.тер.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=π</m:t>
          </m:r>
          <m:sSup>
            <m:sSup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R</m:t>
              </m:r>
            </m:e>
            <m:sup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;   R=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333333"/>
                      <w:sz w:val="28"/>
                      <w:szCs w:val="28"/>
                      <w:lang w:val="uk-U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333333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333333"/>
                          <w:sz w:val="28"/>
                          <w:szCs w:val="28"/>
                          <w:lang w:val="uk-U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333333"/>
                          <w:sz w:val="28"/>
                          <w:szCs w:val="28"/>
                          <w:lang w:val="uk-UA"/>
                        </w:rPr>
                        <m:t>осн.тер.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333333"/>
                      <w:sz w:val="28"/>
                      <w:szCs w:val="28"/>
                      <w:lang w:val="uk-UA"/>
                    </w:rPr>
                    <m:t>π</m:t>
                  </m:r>
                </m:den>
              </m:f>
            </m:e>
          </m:rad>
        </m:oMath>
      </m:oMathPara>
    </w:p>
    <w:p w:rsidR="004101AA" w:rsidRDefault="004101AA" w:rsidP="004101AA">
      <w:pPr>
        <w:spacing w:line="288" w:lineRule="auto"/>
        <w:ind w:firstLine="567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28"/>
          <w:szCs w:val="28"/>
          <w:lang w:val="uk-UA"/>
        </w:rPr>
        <w:t>Знайдемо реальну СЗЗ для даного терикону</w:t>
      </w:r>
    </w:p>
    <w:p w:rsidR="004101AA" w:rsidRDefault="00954338" w:rsidP="004101AA">
      <w:pPr>
        <w:spacing w:line="288" w:lineRule="auto"/>
        <w:ind w:firstLine="567"/>
        <w:jc w:val="both"/>
        <w:rPr>
          <w:rFonts w:ascii="Arial" w:hAnsi="Arial" w:cs="Arial"/>
          <w:i/>
          <w:color w:val="333333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333333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СЗЗ</m:t>
              </m:r>
            </m:e>
            <m:sub>
              <m:r>
                <w:rPr>
                  <w:rFonts w:ascii="Cambria Math" w:hAnsi="Cambria Math" w:cs="Arial"/>
                  <w:color w:val="333333"/>
                  <w:sz w:val="28"/>
                  <w:szCs w:val="28"/>
                  <w:lang w:val="uk-UA"/>
                </w:rPr>
                <m:t>р</m:t>
              </m:r>
            </m:sub>
          </m:sSub>
          <m:r>
            <w:rPr>
              <w:rFonts w:ascii="Cambria Math" w:hAnsi="Cambria Math" w:cs="Arial"/>
              <w:color w:val="333333"/>
              <w:sz w:val="28"/>
              <w:szCs w:val="28"/>
              <w:lang w:val="uk-UA"/>
            </w:rPr>
            <m:t>=СЗЗ+</m:t>
          </m:r>
          <m:r>
            <w:rPr>
              <w:rFonts w:ascii="Cambria Math" w:hAnsi="Cambria Math" w:cs="Arial"/>
              <w:color w:val="333333"/>
              <w:sz w:val="28"/>
              <w:szCs w:val="28"/>
              <w:lang w:val="en-US"/>
            </w:rPr>
            <m:t>R</m:t>
          </m:r>
        </m:oMath>
      </m:oMathPara>
    </w:p>
    <w:p w:rsidR="004101AA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</w:p>
    <w:p w:rsidR="004101AA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</w:p>
    <w:p w:rsidR="004101AA" w:rsidRPr="00351093" w:rsidRDefault="004101AA" w:rsidP="004101AA">
      <w:pPr>
        <w:spacing w:line="288" w:lineRule="auto"/>
        <w:ind w:firstLine="567"/>
        <w:jc w:val="center"/>
        <w:rPr>
          <w:rFonts w:ascii="Arial" w:hAnsi="Arial" w:cs="Arial"/>
          <w:b/>
          <w:color w:val="333333"/>
          <w:sz w:val="28"/>
          <w:szCs w:val="28"/>
          <w:lang w:val="uk-UA"/>
        </w:rPr>
      </w:pPr>
      <w:r w:rsidRPr="00351093">
        <w:rPr>
          <w:rFonts w:ascii="Arial" w:hAnsi="Arial" w:cs="Arial"/>
          <w:b/>
          <w:color w:val="333333"/>
          <w:sz w:val="28"/>
          <w:szCs w:val="28"/>
          <w:lang w:val="uk-UA"/>
        </w:rPr>
        <w:t>Завдання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35"/>
        <w:gridCol w:w="2333"/>
        <w:gridCol w:w="1624"/>
        <w:gridCol w:w="2227"/>
        <w:gridCol w:w="2101"/>
      </w:tblGrid>
      <w:tr w:rsidR="004101AA" w:rsidTr="0086479F"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Варіант 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Терикон </w:t>
            </w:r>
          </w:p>
        </w:tc>
        <w:tc>
          <w:tcPr>
            <w:tcW w:w="1914" w:type="dxa"/>
          </w:tcPr>
          <w:p w:rsidR="004101AA" w:rsidRPr="00351093" w:rsidRDefault="004101AA" w:rsidP="005C66B9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Висота  терикону </w:t>
            </w:r>
            <w:r w:rsidR="005C66B9"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  <w:t>H</w:t>
            </w:r>
            <w:r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  <w:t>і</w:t>
            </w:r>
          </w:p>
        </w:tc>
        <w:tc>
          <w:tcPr>
            <w:tcW w:w="1914" w:type="dxa"/>
          </w:tcPr>
          <w:p w:rsidR="004101AA" w:rsidRDefault="004101AA" w:rsidP="005C66B9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Поправковий  коефіцієнт </w:t>
            </w:r>
            <w:r w:rsidR="005C66B9">
              <w:rPr>
                <w:rFonts w:ascii="Arial" w:hAnsi="Arial" w:cs="Arial"/>
                <w:i/>
                <w:color w:val="333333"/>
                <w:sz w:val="28"/>
                <w:szCs w:val="28"/>
                <w:lang w:val="en-US"/>
              </w:rPr>
              <w:t>K</w:t>
            </w:r>
            <w:r>
              <w:rPr>
                <w:rFonts w:ascii="Arial" w:hAnsi="Arial" w:cs="Arial"/>
                <w:i/>
                <w:color w:val="333333"/>
                <w:sz w:val="28"/>
                <w:szCs w:val="28"/>
                <w:vertAlign w:val="subscript"/>
                <w:lang w:val="uk-UA"/>
              </w:rPr>
              <w:t>н</w:t>
            </w:r>
          </w:p>
        </w:tc>
        <w:tc>
          <w:tcPr>
            <w:tcW w:w="1915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i/>
                <w:color w:val="333333"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4101AA" w:rsidTr="0086479F"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</w:t>
            </w:r>
          </w:p>
        </w:tc>
        <w:tc>
          <w:tcPr>
            <w:tcW w:w="1914" w:type="dxa"/>
          </w:tcPr>
          <w:p w:rsidR="004101AA" w:rsidRPr="00351093" w:rsidRDefault="004101AA" w:rsidP="004101AA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 w:rsidRPr="00351093"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шахта</w:t>
            </w: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 xml:space="preserve"> «Моспінська»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102.5</w:t>
            </w:r>
          </w:p>
        </w:tc>
        <w:tc>
          <w:tcPr>
            <w:tcW w:w="1914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1.062</w:t>
            </w:r>
          </w:p>
        </w:tc>
        <w:tc>
          <w:tcPr>
            <w:tcW w:w="1915" w:type="dxa"/>
          </w:tcPr>
          <w:p w:rsidR="004101AA" w:rsidRPr="00351093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Палаючий терикон</w:t>
            </w:r>
          </w:p>
        </w:tc>
      </w:tr>
      <w:tr w:rsidR="004101AA" w:rsidTr="0086479F"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2</w:t>
            </w:r>
          </w:p>
        </w:tc>
        <w:tc>
          <w:tcPr>
            <w:tcW w:w="1914" w:type="dxa"/>
          </w:tcPr>
          <w:p w:rsidR="004101AA" w:rsidRPr="00351093" w:rsidRDefault="004101AA" w:rsidP="004101AA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шахта «Челюскінців»</w:t>
            </w:r>
          </w:p>
        </w:tc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124.3</w:t>
            </w:r>
          </w:p>
        </w:tc>
        <w:tc>
          <w:tcPr>
            <w:tcW w:w="1914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2.21</w:t>
            </w:r>
          </w:p>
        </w:tc>
        <w:tc>
          <w:tcPr>
            <w:tcW w:w="1915" w:type="dxa"/>
          </w:tcPr>
          <w:p w:rsidR="004101AA" w:rsidRDefault="004101AA" w:rsidP="0086479F">
            <w:pPr>
              <w:spacing w:line="288" w:lineRule="auto"/>
              <w:jc w:val="both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  <w:t>Непалаючий терикон</w:t>
            </w:r>
          </w:p>
        </w:tc>
      </w:tr>
    </w:tbl>
    <w:p w:rsidR="004101AA" w:rsidRPr="00303F6F" w:rsidRDefault="004101AA" w:rsidP="00410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jc w:val="center"/>
        <w:rPr>
          <w:rFonts w:ascii="Arial" w:hAnsi="Arial" w:cs="Arial"/>
          <w:color w:val="000000"/>
          <w:sz w:val="28"/>
          <w:szCs w:val="28"/>
          <w:lang w:val="uk-UA"/>
        </w:rPr>
      </w:pPr>
    </w:p>
    <w:p w:rsidR="00803F55" w:rsidRDefault="00803F55"/>
    <w:sectPr w:rsidR="00803F55" w:rsidSect="004101AA">
      <w:pgSz w:w="12240" w:h="15840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55BA3"/>
    <w:multiLevelType w:val="hybridMultilevel"/>
    <w:tmpl w:val="7BF013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D79D5"/>
    <w:multiLevelType w:val="hybridMultilevel"/>
    <w:tmpl w:val="63F424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E75C8A"/>
    <w:multiLevelType w:val="hybridMultilevel"/>
    <w:tmpl w:val="E03C02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AA"/>
    <w:rsid w:val="00223A7A"/>
    <w:rsid w:val="00382F37"/>
    <w:rsid w:val="004101AA"/>
    <w:rsid w:val="004257C8"/>
    <w:rsid w:val="00544241"/>
    <w:rsid w:val="00574986"/>
    <w:rsid w:val="005C66B9"/>
    <w:rsid w:val="0067696E"/>
    <w:rsid w:val="00796AD9"/>
    <w:rsid w:val="00803F55"/>
    <w:rsid w:val="00954338"/>
    <w:rsid w:val="00986BC2"/>
    <w:rsid w:val="00C23F13"/>
    <w:rsid w:val="00E42DB8"/>
    <w:rsid w:val="00E76590"/>
    <w:rsid w:val="00E7671C"/>
    <w:rsid w:val="00FB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ap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AA"/>
    <w:pPr>
      <w:spacing w:after="0" w:line="240" w:lineRule="auto"/>
    </w:pPr>
    <w:rPr>
      <w:rFonts w:eastAsia="Times New Roman"/>
      <w:cap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01AA"/>
    <w:pPr>
      <w:spacing w:before="100" w:beforeAutospacing="1" w:after="100" w:afterAutospacing="1"/>
    </w:pPr>
    <w:rPr>
      <w:lang w:val="en-US" w:eastAsia="en-US"/>
    </w:rPr>
  </w:style>
  <w:style w:type="paragraph" w:customStyle="1" w:styleId="a4">
    <w:name w:val="Абзац списку"/>
    <w:basedOn w:val="a"/>
    <w:qFormat/>
    <w:rsid w:val="004101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a0"/>
    <w:rsid w:val="004101AA"/>
  </w:style>
  <w:style w:type="character" w:customStyle="1" w:styleId="atn">
    <w:name w:val="atn"/>
    <w:basedOn w:val="a0"/>
    <w:rsid w:val="004101AA"/>
  </w:style>
  <w:style w:type="table" w:styleId="a5">
    <w:name w:val="Table Grid"/>
    <w:basedOn w:val="a1"/>
    <w:rsid w:val="004101AA"/>
    <w:pPr>
      <w:spacing w:after="0" w:line="240" w:lineRule="auto"/>
    </w:pPr>
    <w:rPr>
      <w:rFonts w:eastAsia="Times New Roman"/>
      <w:caps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101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1AA"/>
    <w:rPr>
      <w:rFonts w:ascii="Tahoma" w:eastAsia="Times New Roman" w:hAnsi="Tahoma" w:cs="Tahoma"/>
      <w:caps w:val="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ap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AA"/>
    <w:pPr>
      <w:spacing w:after="0" w:line="240" w:lineRule="auto"/>
    </w:pPr>
    <w:rPr>
      <w:rFonts w:eastAsia="Times New Roman"/>
      <w:cap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101AA"/>
    <w:pPr>
      <w:spacing w:before="100" w:beforeAutospacing="1" w:after="100" w:afterAutospacing="1"/>
    </w:pPr>
    <w:rPr>
      <w:lang w:val="en-US" w:eastAsia="en-US"/>
    </w:rPr>
  </w:style>
  <w:style w:type="paragraph" w:customStyle="1" w:styleId="a4">
    <w:name w:val="Абзац списку"/>
    <w:basedOn w:val="a"/>
    <w:qFormat/>
    <w:rsid w:val="004101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a0"/>
    <w:rsid w:val="004101AA"/>
  </w:style>
  <w:style w:type="character" w:customStyle="1" w:styleId="atn">
    <w:name w:val="atn"/>
    <w:basedOn w:val="a0"/>
    <w:rsid w:val="004101AA"/>
  </w:style>
  <w:style w:type="table" w:styleId="a5">
    <w:name w:val="Table Grid"/>
    <w:basedOn w:val="a1"/>
    <w:rsid w:val="004101AA"/>
    <w:pPr>
      <w:spacing w:after="0" w:line="240" w:lineRule="auto"/>
    </w:pPr>
    <w:rPr>
      <w:rFonts w:eastAsia="Times New Roman"/>
      <w:caps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101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1AA"/>
    <w:rPr>
      <w:rFonts w:ascii="Tahoma" w:eastAsia="Times New Roman" w:hAnsi="Tahoma" w:cs="Tahoma"/>
      <w:caps w:val="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2021-10-19T09:05:00Z</cp:lastPrinted>
  <dcterms:created xsi:type="dcterms:W3CDTF">2021-10-28T11:47:00Z</dcterms:created>
  <dcterms:modified xsi:type="dcterms:W3CDTF">2021-10-28T11:47:00Z</dcterms:modified>
</cp:coreProperties>
</file>