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9D3B" w14:textId="7600E43E" w:rsidR="00D94D9A" w:rsidRDefault="00D94D9A" w:rsidP="00D94D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550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8FEF2C" w14:textId="77777777" w:rsidR="00D94D9A" w:rsidRPr="00925B94" w:rsidRDefault="00D94D9A" w:rsidP="00D94D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D745DF" w14:textId="77777777" w:rsidR="00D94D9A" w:rsidRDefault="00D94D9A" w:rsidP="00D94D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Pr="00A23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ПРОВЕДЕННЯ ТА </w:t>
      </w:r>
      <w:r w:rsidRPr="00A23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ОЦІНКИ ФУНКЦІОНАЛЬНИХ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ПРОБ.</w:t>
      </w:r>
    </w:p>
    <w:p w14:paraId="6FA06283" w14:textId="33D64ADA" w:rsidR="00D94D9A" w:rsidRPr="00925B94" w:rsidRDefault="00D94D9A" w:rsidP="00D94D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4F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методикою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органах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системах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подразників</w:t>
      </w:r>
      <w:proofErr w:type="spellEnd"/>
      <w:r w:rsidR="0063550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63550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студентів</w:t>
      </w:r>
      <w:proofErr w:type="spellEnd"/>
      <w:r w:rsidR="0063550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СМГ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6F02802" w14:textId="77777777" w:rsidR="00D94D9A" w:rsidRPr="0056168F" w:rsidRDefault="00D94D9A" w:rsidP="00D94D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D62A59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62A59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4F0C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секундомір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тонометр</w:t>
      </w:r>
    </w:p>
    <w:p w14:paraId="763BCEA2" w14:textId="77777777" w:rsidR="00D94D9A" w:rsidRDefault="00D94D9A" w:rsidP="00D94D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730B12" w14:textId="77777777" w:rsidR="00D94D9A" w:rsidRPr="00925B94" w:rsidRDefault="00D94D9A" w:rsidP="00D94D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</w:p>
    <w:p w14:paraId="2B7C92DF" w14:textId="77777777" w:rsidR="00D94D9A" w:rsidRPr="00A23E69" w:rsidRDefault="00D94D9A" w:rsidP="00D94D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життєдіяльність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вони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органах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6C2E7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системах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подразників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925B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Повноцінне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ряду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валідних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925B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вивчають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вплив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925B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  <w:r w:rsidRPr="00925B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призводять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психоемоційного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нейроімуноендокринної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інтенсифікації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пред’являються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 основною</w:t>
      </w:r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функцією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постачання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тканин, а також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обміну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8793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накопичуються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0D303A1" w14:textId="78C0E503" w:rsidR="00D94D9A" w:rsidRDefault="00D94D9A" w:rsidP="00D94D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вивчають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правило у першу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чергу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для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відносяться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(ЧСС)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(АТ), а також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похідні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них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Ці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параметри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доступними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A23E69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EAEE44D" w14:textId="77777777" w:rsidR="00D94D9A" w:rsidRPr="00D94D9A" w:rsidRDefault="00D94D9A" w:rsidP="00D94D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</w:p>
    <w:p w14:paraId="6A3F37FD" w14:textId="48E258E3" w:rsidR="00D94D9A" w:rsidRPr="005E24CD" w:rsidRDefault="00D94D9A" w:rsidP="00D94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53D288" w14:textId="77777777" w:rsidR="00D94D9A" w:rsidRPr="00B53A0D" w:rsidRDefault="00D94D9A" w:rsidP="00D94D9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3A0D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B53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функціональних</w:t>
      </w:r>
      <w:proofErr w:type="spellEnd"/>
      <w:r w:rsidRP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можливостей</w:t>
      </w:r>
      <w:proofErr w:type="spellEnd"/>
      <w:r w:rsidRP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ССС </w:t>
      </w:r>
      <w:r w:rsidRPr="00B53A0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B53A0D">
        <w:rPr>
          <w:rFonts w:ascii="Times New Roman" w:hAnsi="Times New Roman" w:cs="Times New Roman"/>
          <w:b/>
          <w:bCs/>
          <w:sz w:val="28"/>
          <w:szCs w:val="28"/>
        </w:rPr>
        <w:t>функціональними</w:t>
      </w:r>
      <w:proofErr w:type="spellEnd"/>
      <w:r w:rsidRPr="00B53A0D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B53A0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робами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B53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C07B48" w14:textId="77777777" w:rsidR="00D94D9A" w:rsidRDefault="00D94D9A" w:rsidP="00D94D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Методичні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24CD">
        <w:rPr>
          <w:rFonts w:ascii="Times New Roman" w:hAnsi="Times New Roman" w:cs="Times New Roman"/>
          <w:b/>
          <w:bCs/>
          <w:sz w:val="28"/>
          <w:szCs w:val="28"/>
        </w:rPr>
        <w:t>вказівки</w:t>
      </w:r>
      <w:proofErr w:type="spellEnd"/>
      <w:r w:rsidRPr="005E24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E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Ф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ункціональні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затримкою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тривалість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скорочується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50%</w:t>
      </w:r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Спроможність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певним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та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потужності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апнотичних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погіршуються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Проба Штанге також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стійкість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недостачі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генотипу та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вольових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8A57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знижувати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практичну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цінність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>апнотичних</w:t>
      </w:r>
      <w:proofErr w:type="spellEnd"/>
      <w:r w:rsidRPr="002F63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проб.</w:t>
      </w:r>
    </w:p>
    <w:p w14:paraId="51C8AAE1" w14:textId="331EFA2B" w:rsidR="00D94D9A" w:rsidRPr="004A7A5E" w:rsidRDefault="00D94D9A" w:rsidP="004A7A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FFFFFF"/>
          <w:sz w:val="28"/>
          <w:szCs w:val="28"/>
        </w:rPr>
      </w:pP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змінами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оцінювати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ВНС ‒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ортостатична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проба)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проба) ланок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автономної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Інтерпретація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орто-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кліностатичної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проб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безпосередньої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вказує</w:t>
      </w:r>
      <w:proofErr w:type="spellEnd"/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сенситивність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чутливість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реактивність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844F11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симпатичного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парасимпатичного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відділів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ВНС.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тонусу ВНС за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реактивними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змінами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парасимпатичної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844F11">
        <w:rPr>
          <w:rFonts w:ascii="Times New Roman" w:eastAsia="Yu Gothic" w:hAnsi="Times New Roman" w:cs="Times New Roman"/>
          <w:color w:val="000000"/>
          <w:sz w:val="28"/>
          <w:szCs w:val="28"/>
        </w:rPr>
        <w:t>рунтуєть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</w:t>
      </w:r>
      <w:r w:rsidRPr="00042055">
        <w:rPr>
          <w:rFonts w:ascii="Times New Roman" w:eastAsia="TimesNewRoman" w:hAnsi="Times New Roman" w:cs="Times New Roman"/>
          <w:color w:val="000000"/>
          <w:sz w:val="28"/>
          <w:szCs w:val="28"/>
        </w:rPr>
        <w:t>є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страції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через </w:t>
      </w:r>
      <w:r w:rsidRPr="00B07F8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кліностотичної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</w:t>
      </w:r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тонусу того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іншого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виду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пульсу 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проба) і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</w:t>
      </w:r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кліностатична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проба) з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позначенням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виразності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B07F83">
        <w:rPr>
          <w:rFonts w:ascii="Times New Roman" w:eastAsia="TimesNew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844F1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A5062DE" w14:textId="34F48D83" w:rsidR="00D94D9A" w:rsidRPr="005705FE" w:rsidRDefault="00D94D9A" w:rsidP="00D94D9A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Проба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із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затримкою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під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час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вдиху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(проба Штанге)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вихідному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5-7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глибокий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(але не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максимальний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вдих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затримати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якомога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довше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стискуючи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ніс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перерви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відлічують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секундоміром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момент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зупиняють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здорових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нетренованих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дорослих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середньому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40-60 секунд,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30-40 секунд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8ED8C0F" w14:textId="030CD0DF" w:rsidR="00D94D9A" w:rsidRDefault="00D94D9A" w:rsidP="00D94D9A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Проба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із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затримкою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під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час </w:t>
      </w: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видиху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(проба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Генч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перерви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відзначається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секундоміром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зупиняють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момент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здорових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нетренованих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затримка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коливається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межах 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25-40 секунд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чоловіків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15-30 секунд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– у </w:t>
      </w:r>
      <w:proofErr w:type="spellStart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  <w:r w:rsidRPr="005705F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14:paraId="6C22D1C5" w14:textId="77777777" w:rsidR="00D94D9A" w:rsidRPr="005705FE" w:rsidRDefault="00D94D9A" w:rsidP="00D94D9A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Ортостатична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проба</w:t>
      </w:r>
      <w:r w:rsidRPr="005705F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лежачи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рахують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пульсу за 10 сек. і результат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помножують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6;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самим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(за 2-3 сек.)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встає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переходу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вертикальне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через 1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стояння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знов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пульсом частоту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ED666DC" w14:textId="77777777" w:rsidR="00D94D9A" w:rsidRPr="005705FE" w:rsidRDefault="00D94D9A" w:rsidP="00D94D9A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Кліностатичну</w:t>
      </w:r>
      <w:proofErr w:type="spellEnd"/>
      <w:r w:rsidRPr="005705F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пробу</w:t>
      </w:r>
      <w:r w:rsidRPr="005705F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зворотному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порядку: ЧСС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спокійного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стояння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повільного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переходу 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лежачи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і,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нарешті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горизонтальному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Пульс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рахують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10-секундні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часу,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помножуючи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 на 6,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виміряють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234B5CD" w14:textId="6A807A00" w:rsidR="00D94D9A" w:rsidRDefault="00D94D9A" w:rsidP="00D94D9A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</w:p>
    <w:p w14:paraId="4B2F55EF" w14:textId="77777777" w:rsidR="00D94D9A" w:rsidRDefault="00D94D9A" w:rsidP="00D9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</w:p>
    <w:p w14:paraId="72009135" w14:textId="77777777" w:rsidR="00D94D9A" w:rsidRPr="00BD74E0" w:rsidRDefault="00D94D9A" w:rsidP="00D9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абсолютними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значеннями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5FE">
        <w:rPr>
          <w:rFonts w:ascii="Times New Roman" w:eastAsia="TimesNewRoman" w:hAnsi="Times New Roman" w:cs="Times New Roman"/>
          <w:color w:val="000000"/>
          <w:sz w:val="28"/>
          <w:szCs w:val="28"/>
        </w:rPr>
        <w:t>ортостатичної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>кліностатичної</w:t>
      </w:r>
      <w:proofErr w:type="spellEnd"/>
      <w:r w:rsidRPr="00BD74E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353"/>
        <w:gridCol w:w="1762"/>
        <w:gridCol w:w="3115"/>
      </w:tblGrid>
      <w:tr w:rsidR="00D94D9A" w:rsidRPr="00022DAD" w14:paraId="0679F4EE" w14:textId="77777777" w:rsidTr="006D2B0C">
        <w:tc>
          <w:tcPr>
            <w:tcW w:w="4468" w:type="dxa"/>
            <w:gridSpan w:val="2"/>
          </w:tcPr>
          <w:p w14:paraId="1ACF80DD" w14:textId="77777777" w:rsidR="00D94D9A" w:rsidRPr="00367951" w:rsidRDefault="00D94D9A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Ортостатична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проба,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прискорення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пульсу, уд./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77" w:type="dxa"/>
            <w:gridSpan w:val="2"/>
          </w:tcPr>
          <w:p w14:paraId="258F5343" w14:textId="77777777" w:rsidR="00D94D9A" w:rsidRPr="00367951" w:rsidRDefault="00D94D9A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Кліностатична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проба, 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уповільнення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 xml:space="preserve"> пульсу, уд./</w:t>
            </w:r>
            <w:proofErr w:type="spellStart"/>
            <w:r w:rsidRPr="00367951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36795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94D9A" w:rsidRPr="00022DAD" w14:paraId="209D14AA" w14:textId="77777777" w:rsidTr="006D2B0C">
        <w:tc>
          <w:tcPr>
            <w:tcW w:w="3115" w:type="dxa"/>
          </w:tcPr>
          <w:p w14:paraId="0FB5FBCC" w14:textId="77777777" w:rsidR="00D94D9A" w:rsidRPr="00367951" w:rsidRDefault="00D94D9A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0-6</w:t>
            </w:r>
          </w:p>
        </w:tc>
        <w:tc>
          <w:tcPr>
            <w:tcW w:w="3115" w:type="dxa"/>
            <w:gridSpan w:val="2"/>
          </w:tcPr>
          <w:p w14:paraId="53897077" w14:textId="0F4DA313" w:rsidR="00D94D9A" w:rsidRPr="00367951" w:rsidRDefault="00CE35B8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відмінно</w:t>
            </w:r>
            <w:proofErr w:type="spellEnd"/>
          </w:p>
        </w:tc>
        <w:tc>
          <w:tcPr>
            <w:tcW w:w="3115" w:type="dxa"/>
          </w:tcPr>
          <w:p w14:paraId="5AAC5747" w14:textId="77777777" w:rsidR="00D94D9A" w:rsidRPr="00367951" w:rsidRDefault="00D94D9A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0-4</w:t>
            </w:r>
          </w:p>
        </w:tc>
      </w:tr>
      <w:tr w:rsidR="00D94D9A" w:rsidRPr="00022DAD" w14:paraId="2B720267" w14:textId="77777777" w:rsidTr="006D2B0C">
        <w:tc>
          <w:tcPr>
            <w:tcW w:w="3115" w:type="dxa"/>
          </w:tcPr>
          <w:p w14:paraId="452E7761" w14:textId="77777777" w:rsidR="00D94D9A" w:rsidRPr="00367951" w:rsidRDefault="00D94D9A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7-12</w:t>
            </w:r>
          </w:p>
        </w:tc>
        <w:tc>
          <w:tcPr>
            <w:tcW w:w="3115" w:type="dxa"/>
            <w:gridSpan w:val="2"/>
          </w:tcPr>
          <w:p w14:paraId="22A691DE" w14:textId="4D7013F4" w:rsidR="00D94D9A" w:rsidRPr="00367951" w:rsidRDefault="00CE35B8" w:rsidP="006D2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добре</w:t>
            </w:r>
          </w:p>
        </w:tc>
        <w:tc>
          <w:tcPr>
            <w:tcW w:w="3115" w:type="dxa"/>
          </w:tcPr>
          <w:p w14:paraId="6B36AC04" w14:textId="77777777" w:rsidR="00D94D9A" w:rsidRPr="00367951" w:rsidRDefault="00D94D9A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5-8</w:t>
            </w:r>
          </w:p>
        </w:tc>
      </w:tr>
      <w:tr w:rsidR="00D94D9A" w:rsidRPr="00022DAD" w14:paraId="274EFF6E" w14:textId="77777777" w:rsidTr="006D2B0C">
        <w:tc>
          <w:tcPr>
            <w:tcW w:w="3115" w:type="dxa"/>
          </w:tcPr>
          <w:p w14:paraId="4FD2E117" w14:textId="77777777" w:rsidR="00D94D9A" w:rsidRPr="00367951" w:rsidRDefault="00D94D9A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13-18</w:t>
            </w:r>
          </w:p>
        </w:tc>
        <w:tc>
          <w:tcPr>
            <w:tcW w:w="3115" w:type="dxa"/>
            <w:gridSpan w:val="2"/>
          </w:tcPr>
          <w:p w14:paraId="6812079E" w14:textId="47493550" w:rsidR="00D94D9A" w:rsidRPr="00367951" w:rsidRDefault="00CE35B8" w:rsidP="006D2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задовільно</w:t>
            </w:r>
            <w:proofErr w:type="spellEnd"/>
          </w:p>
        </w:tc>
        <w:tc>
          <w:tcPr>
            <w:tcW w:w="3115" w:type="dxa"/>
          </w:tcPr>
          <w:p w14:paraId="16BB378E" w14:textId="77777777" w:rsidR="00D94D9A" w:rsidRPr="00367951" w:rsidRDefault="00D94D9A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9-12</w:t>
            </w:r>
          </w:p>
        </w:tc>
      </w:tr>
      <w:tr w:rsidR="00D94D9A" w:rsidRPr="00022DAD" w14:paraId="0354CAE4" w14:textId="77777777" w:rsidTr="006D2B0C">
        <w:tc>
          <w:tcPr>
            <w:tcW w:w="3115" w:type="dxa"/>
          </w:tcPr>
          <w:p w14:paraId="1CA9E552" w14:textId="77777777" w:rsidR="00D94D9A" w:rsidRPr="00367951" w:rsidRDefault="00D94D9A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19-24</w:t>
            </w:r>
          </w:p>
        </w:tc>
        <w:tc>
          <w:tcPr>
            <w:tcW w:w="3115" w:type="dxa"/>
            <w:gridSpan w:val="2"/>
          </w:tcPr>
          <w:p w14:paraId="3CCF43C5" w14:textId="3BD0D74B" w:rsidR="00D94D9A" w:rsidRPr="00367951" w:rsidRDefault="00CE35B8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незадовільно</w:t>
            </w:r>
            <w:proofErr w:type="spellEnd"/>
          </w:p>
        </w:tc>
        <w:tc>
          <w:tcPr>
            <w:tcW w:w="3115" w:type="dxa"/>
          </w:tcPr>
          <w:p w14:paraId="7667B341" w14:textId="77777777" w:rsidR="00D94D9A" w:rsidRPr="00367951" w:rsidRDefault="00D94D9A" w:rsidP="006D2B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7951">
              <w:rPr>
                <w:rFonts w:ascii="Times New Roman" w:hAnsi="Times New Roman" w:cs="Times New Roman"/>
                <w:lang w:val="ru-RU"/>
              </w:rPr>
              <w:t>13-16</w:t>
            </w:r>
          </w:p>
        </w:tc>
      </w:tr>
    </w:tbl>
    <w:p w14:paraId="3087A8A8" w14:textId="77777777" w:rsidR="00D94D9A" w:rsidRDefault="00D94D9A" w:rsidP="00635503">
      <w:pPr>
        <w:pStyle w:val="a4"/>
        <w:spacing w:line="240" w:lineRule="auto"/>
        <w:ind w:left="1069"/>
        <w:rPr>
          <w:rFonts w:ascii="Times New Roman" w:hAnsi="Times New Roman" w:cs="Times New Roman"/>
          <w:sz w:val="28"/>
          <w:szCs w:val="28"/>
          <w:lang w:val="ru-RU"/>
        </w:rPr>
      </w:pPr>
    </w:p>
    <w:p w14:paraId="2F818445" w14:textId="77777777" w:rsidR="004A7A5E" w:rsidRPr="004A7A5E" w:rsidRDefault="00635503" w:rsidP="00635503">
      <w:pPr>
        <w:pStyle w:val="a4"/>
        <w:numPr>
          <w:ilvl w:val="0"/>
          <w:numId w:val="3"/>
        </w:numPr>
        <w:tabs>
          <w:tab w:val="left" w:pos="1134"/>
        </w:tabs>
        <w:spacing w:before="240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6355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Проба </w:t>
      </w:r>
      <w:proofErr w:type="spellStart"/>
      <w:r w:rsidRPr="0063550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Мартіне-Кушелевського</w:t>
      </w:r>
      <w:proofErr w:type="spellEnd"/>
      <w:r w:rsidRPr="006355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635503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(20 </w:t>
      </w:r>
      <w:proofErr w:type="spellStart"/>
      <w:r w:rsidRPr="00635503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присідань</w:t>
      </w:r>
      <w:proofErr w:type="spellEnd"/>
      <w:r w:rsidRPr="00635503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за 30 с).</w:t>
      </w:r>
      <w:r w:rsidRPr="00635503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5F5DF073" w14:textId="5DAC394C" w:rsidR="00D94D9A" w:rsidRPr="004A7A5E" w:rsidRDefault="00635503" w:rsidP="004A7A5E">
      <w:pPr>
        <w:spacing w:before="24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3-5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у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вихідний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ЧСС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АТ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манжету тонометра на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ліве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плече і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ЧСС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АТ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Частоту пульсу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10 с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часу до тих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пір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поки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буде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отримано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дві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-три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однакові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цифри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підряд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12-12-12).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знімаючи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манжети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обстежуваному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пропонують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глибоких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с. в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помірному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при кожному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присіданні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витягувати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руки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вперед, а при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вставанні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руки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опускати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По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закінченні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сідає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лікар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</w:t>
      </w:r>
      <w:proofErr w:type="spellEnd"/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проводить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підрахунок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пульсу за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перші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10 с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першої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відновлюваного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періоду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а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далі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протягом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останніх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50 с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першої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вимірює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артеріальний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З початку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другої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знову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підраховує</w:t>
      </w:r>
      <w:r w:rsid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ться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частот</w:t>
      </w:r>
      <w:r w:rsid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пульсу за 10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секундні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інтервали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часу до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тр</w:t>
      </w:r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иразов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ого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повторення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значення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вихідної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частоти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пульсу.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Проте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навіть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відновився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вже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другій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хвилині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відновлювального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періоду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рекомендується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не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припиняти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реєстраці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ї</w:t>
      </w:r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а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продовжувати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рахувати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 до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кінця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третьої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По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закінченні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3-ої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вимірюють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знову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4A7A5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АТ.</w:t>
      </w:r>
      <w:r w:rsidRPr="004A7A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14:paraId="705BA5CD" w14:textId="77777777" w:rsidR="00CE35B8" w:rsidRPr="00CE35B8" w:rsidRDefault="00CE35B8" w:rsidP="00CE35B8">
      <w:pPr>
        <w:pStyle w:val="a4"/>
        <w:spacing w:line="288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lang w:val="uk-UA"/>
        </w:rPr>
      </w:pPr>
      <w:r w:rsidRPr="00CE35B8">
        <w:rPr>
          <w:rFonts w:ascii="Times New Roman" w:hAnsi="Times New Roman" w:cs="Times New Roman"/>
          <w:b/>
          <w:bCs/>
          <w:iCs/>
          <w:sz w:val="28"/>
          <w:lang w:val="uk-UA"/>
        </w:rPr>
        <w:t>Оцінка результатів проби Мартіне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2569"/>
        <w:gridCol w:w="2291"/>
      </w:tblGrid>
      <w:tr w:rsidR="00CE35B8" w:rsidRPr="002C63A6" w14:paraId="23FC19EF" w14:textId="77777777" w:rsidTr="00980F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A2C9" w14:textId="77777777" w:rsidR="00CE35B8" w:rsidRPr="00CE35B8" w:rsidRDefault="00CE35B8" w:rsidP="00CE35B8">
            <w:pPr>
              <w:pStyle w:val="1"/>
              <w:jc w:val="center"/>
              <w:rPr>
                <w:bCs/>
                <w:iCs/>
                <w:sz w:val="24"/>
              </w:rPr>
            </w:pPr>
            <w:r w:rsidRPr="00CE35B8">
              <w:rPr>
                <w:bCs/>
                <w:iCs/>
                <w:sz w:val="24"/>
              </w:rPr>
              <w:t>Відмінно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AF7D" w14:textId="77777777" w:rsidR="00CE35B8" w:rsidRPr="00CE35B8" w:rsidRDefault="00CE35B8" w:rsidP="00CE35B8">
            <w:pPr>
              <w:pStyle w:val="1"/>
              <w:jc w:val="center"/>
              <w:rPr>
                <w:bCs/>
                <w:iCs/>
                <w:sz w:val="24"/>
              </w:rPr>
            </w:pPr>
            <w:r w:rsidRPr="00CE35B8">
              <w:rPr>
                <w:bCs/>
                <w:iCs/>
                <w:sz w:val="24"/>
              </w:rPr>
              <w:t>Добре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50A3" w14:textId="77777777" w:rsidR="00CE35B8" w:rsidRPr="00CE35B8" w:rsidRDefault="00CE35B8" w:rsidP="00CE35B8">
            <w:pPr>
              <w:pStyle w:val="1"/>
              <w:jc w:val="center"/>
              <w:rPr>
                <w:bCs/>
                <w:iCs/>
                <w:sz w:val="24"/>
              </w:rPr>
            </w:pPr>
            <w:r w:rsidRPr="00CE35B8">
              <w:rPr>
                <w:bCs/>
                <w:iCs/>
                <w:sz w:val="24"/>
              </w:rPr>
              <w:t>Задовільно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B5D" w14:textId="77777777" w:rsidR="00CE35B8" w:rsidRPr="00CE35B8" w:rsidRDefault="00CE35B8" w:rsidP="00CE35B8">
            <w:pPr>
              <w:pStyle w:val="1"/>
              <w:jc w:val="center"/>
              <w:rPr>
                <w:bCs/>
                <w:iCs/>
                <w:sz w:val="24"/>
              </w:rPr>
            </w:pPr>
            <w:r w:rsidRPr="00CE35B8">
              <w:rPr>
                <w:bCs/>
                <w:iCs/>
                <w:sz w:val="24"/>
              </w:rPr>
              <w:t>Незадовільно</w:t>
            </w:r>
          </w:p>
        </w:tc>
      </w:tr>
      <w:tr w:rsidR="00CE35B8" w:rsidRPr="002C63A6" w14:paraId="3F6B4BC5" w14:textId="77777777" w:rsidTr="00980F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B5ED" w14:textId="77777777" w:rsidR="00CE35B8" w:rsidRPr="00CE35B8" w:rsidRDefault="00CE35B8" w:rsidP="00CE35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E35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Підвищення пульсу до 25%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FF3E" w14:textId="77777777" w:rsidR="00CE35B8" w:rsidRPr="00CE35B8" w:rsidRDefault="00CE35B8" w:rsidP="00CE35B8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E35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Підвищення пульсу на</w:t>
            </w:r>
          </w:p>
          <w:p w14:paraId="0692C591" w14:textId="77777777" w:rsidR="00CE35B8" w:rsidRPr="00CE35B8" w:rsidRDefault="00CE35B8" w:rsidP="00CE35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E35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25 - 50%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0F90" w14:textId="77777777" w:rsidR="00CE35B8" w:rsidRPr="00CE35B8" w:rsidRDefault="00CE35B8" w:rsidP="00CE35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E35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Підвищення пульсу на</w:t>
            </w:r>
          </w:p>
          <w:p w14:paraId="150BD085" w14:textId="77777777" w:rsidR="00CE35B8" w:rsidRPr="00CE35B8" w:rsidRDefault="00CE35B8" w:rsidP="00CE35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E35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50 - 70 %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438E" w14:textId="77777777" w:rsidR="00CE35B8" w:rsidRPr="00CE35B8" w:rsidRDefault="00CE35B8" w:rsidP="00CE35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E35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Підвищення пульсу на 75% і більше</w:t>
            </w:r>
          </w:p>
        </w:tc>
      </w:tr>
    </w:tbl>
    <w:p w14:paraId="31DE4731" w14:textId="3BAB8D36" w:rsidR="00D94D9A" w:rsidRPr="00D205AC" w:rsidRDefault="00D94D9A" w:rsidP="004A7A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Показники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функціональнх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проб 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занести до </w:t>
      </w:r>
      <w:proofErr w:type="spellStart"/>
      <w:r w:rsidRPr="00D205AC">
        <w:rPr>
          <w:rFonts w:ascii="Times New Roman" w:hAnsi="Times New Roman" w:cs="Times New Roman"/>
          <w:b/>
          <w:bCs/>
          <w:sz w:val="28"/>
          <w:szCs w:val="28"/>
        </w:rPr>
        <w:t>таблиці</w:t>
      </w:r>
      <w:proofErr w:type="spellEnd"/>
      <w:r w:rsidRPr="00D20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D205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5DED5B" w14:textId="3EFA76D1" w:rsidR="00D94D9A" w:rsidRPr="0091679E" w:rsidRDefault="00D94D9A" w:rsidP="00D94D9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167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78BA2" w14:textId="59CA5ADB" w:rsidR="00D94D9A" w:rsidRPr="00D205AC" w:rsidRDefault="00D94D9A" w:rsidP="00D94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9E">
        <w:rPr>
          <w:rFonts w:ascii="Times New Roman" w:hAnsi="Times New Roman" w:cs="Times New Roman"/>
          <w:sz w:val="28"/>
          <w:szCs w:val="28"/>
        </w:rPr>
        <w:t xml:space="preserve">Протокол.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Показник</w:t>
      </w:r>
      <w:r w:rsidR="0063550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проб.</w:t>
      </w:r>
    </w:p>
    <w:p w14:paraId="04649BF3" w14:textId="77777777" w:rsidR="00D94D9A" w:rsidRDefault="00D94D9A" w:rsidP="00D94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91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9E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1679E">
        <w:rPr>
          <w:rFonts w:ascii="Times New Roman" w:hAnsi="Times New Roman" w:cs="Times New Roman"/>
          <w:sz w:val="28"/>
          <w:szCs w:val="28"/>
        </w:rPr>
        <w:t>______ Стать _____</w:t>
      </w:r>
    </w:p>
    <w:p w14:paraId="41FAA201" w14:textId="64E1C4E1" w:rsidR="00635503" w:rsidRPr="00635503" w:rsidRDefault="00635503" w:rsidP="00D94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1"/>
        <w:gridCol w:w="2994"/>
      </w:tblGrid>
      <w:tr w:rsidR="00D94D9A" w14:paraId="1DAFA943" w14:textId="77777777" w:rsidTr="006D2B0C">
        <w:tc>
          <w:tcPr>
            <w:tcW w:w="6351" w:type="dxa"/>
          </w:tcPr>
          <w:p w14:paraId="4A74D933" w14:textId="77777777" w:rsidR="00D94D9A" w:rsidRPr="001948D6" w:rsidRDefault="00D94D9A" w:rsidP="006D2B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1948D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роба Штанге</w:t>
            </w:r>
          </w:p>
        </w:tc>
        <w:tc>
          <w:tcPr>
            <w:tcW w:w="2994" w:type="dxa"/>
          </w:tcPr>
          <w:p w14:paraId="7FBD5696" w14:textId="77777777" w:rsidR="00D94D9A" w:rsidRPr="001948D6" w:rsidRDefault="00D94D9A" w:rsidP="006D2B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D9A" w14:paraId="0C7AC733" w14:textId="77777777" w:rsidTr="006D2B0C">
        <w:tc>
          <w:tcPr>
            <w:tcW w:w="6351" w:type="dxa"/>
          </w:tcPr>
          <w:p w14:paraId="76FD310D" w14:textId="42D5484B" w:rsidR="00635503" w:rsidRPr="001948D6" w:rsidRDefault="00D94D9A" w:rsidP="006D2B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Проба </w:t>
            </w:r>
            <w:proofErr w:type="spellStart"/>
            <w:r w:rsidRPr="00194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Генче</w:t>
            </w:r>
            <w:proofErr w:type="spellEnd"/>
          </w:p>
        </w:tc>
        <w:tc>
          <w:tcPr>
            <w:tcW w:w="2994" w:type="dxa"/>
          </w:tcPr>
          <w:p w14:paraId="6A4FA506" w14:textId="77777777" w:rsidR="00D94D9A" w:rsidRPr="001948D6" w:rsidRDefault="00D94D9A" w:rsidP="006D2B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D9A" w14:paraId="623A54B7" w14:textId="77777777" w:rsidTr="006D2B0C">
        <w:tc>
          <w:tcPr>
            <w:tcW w:w="6351" w:type="dxa"/>
          </w:tcPr>
          <w:p w14:paraId="5D38B835" w14:textId="77777777" w:rsidR="00D94D9A" w:rsidRPr="001948D6" w:rsidRDefault="00D94D9A" w:rsidP="006D2B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8D6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>Ортостатична</w:t>
            </w:r>
            <w:proofErr w:type="spellEnd"/>
            <w:r w:rsidRPr="001948D6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 xml:space="preserve"> проба</w:t>
            </w:r>
          </w:p>
        </w:tc>
        <w:tc>
          <w:tcPr>
            <w:tcW w:w="2994" w:type="dxa"/>
          </w:tcPr>
          <w:p w14:paraId="63FFAA6F" w14:textId="77777777" w:rsidR="00D94D9A" w:rsidRPr="001948D6" w:rsidRDefault="00D94D9A" w:rsidP="006D2B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D9A" w14:paraId="57398F9A" w14:textId="77777777" w:rsidTr="006D2B0C">
        <w:tc>
          <w:tcPr>
            <w:tcW w:w="6351" w:type="dxa"/>
          </w:tcPr>
          <w:p w14:paraId="72D0DC00" w14:textId="77777777" w:rsidR="00D94D9A" w:rsidRPr="001948D6" w:rsidRDefault="00D94D9A" w:rsidP="006D2B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8D6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>Кліностатичн</w:t>
            </w:r>
            <w:proofErr w:type="spellEnd"/>
            <w:r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948D6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</w:rPr>
              <w:t xml:space="preserve"> проб</w:t>
            </w:r>
            <w:r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994" w:type="dxa"/>
          </w:tcPr>
          <w:p w14:paraId="5194DEF0" w14:textId="77777777" w:rsidR="00D94D9A" w:rsidRPr="001948D6" w:rsidRDefault="00D94D9A" w:rsidP="006D2B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D9A" w14:paraId="28BCE0DB" w14:textId="77777777" w:rsidTr="006D2B0C">
        <w:tc>
          <w:tcPr>
            <w:tcW w:w="6351" w:type="dxa"/>
          </w:tcPr>
          <w:p w14:paraId="31D5C5C4" w14:textId="74A54A01" w:rsidR="00D94D9A" w:rsidRPr="00D94D9A" w:rsidRDefault="00D94D9A" w:rsidP="006D2B0C">
            <w:pPr>
              <w:spacing w:line="276" w:lineRule="auto"/>
              <w:jc w:val="both"/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  <w:lang w:val="ru-RU"/>
              </w:rPr>
              <w:t xml:space="preserve">Проба </w:t>
            </w:r>
            <w:proofErr w:type="spellStart"/>
            <w:r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  <w:lang w:val="ru-RU"/>
              </w:rPr>
              <w:t>Мартіне</w:t>
            </w:r>
            <w:r w:rsidR="00635503">
              <w:rPr>
                <w:rFonts w:ascii="Times New Roman" w:eastAsia="TimesNewRoman,Italic" w:hAnsi="Times New Roman" w:cs="Times New Roman"/>
                <w:color w:val="000000"/>
                <w:sz w:val="28"/>
                <w:szCs w:val="28"/>
                <w:lang w:val="ru-RU"/>
              </w:rPr>
              <w:t>-Кушелевського</w:t>
            </w:r>
            <w:proofErr w:type="spellEnd"/>
          </w:p>
        </w:tc>
        <w:tc>
          <w:tcPr>
            <w:tcW w:w="2994" w:type="dxa"/>
          </w:tcPr>
          <w:p w14:paraId="7110B356" w14:textId="77777777" w:rsidR="00D94D9A" w:rsidRPr="001948D6" w:rsidRDefault="00D94D9A" w:rsidP="006D2B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646EECB" w14:textId="77777777" w:rsidR="00D94D9A" w:rsidRPr="004F0CD3" w:rsidRDefault="00D94D9A" w:rsidP="00D94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3D881" w14:textId="77777777" w:rsidR="00D94D9A" w:rsidRDefault="00D94D9A" w:rsidP="00D94D9A"/>
    <w:p w14:paraId="5E957B4A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B9"/>
    <w:multiLevelType w:val="hybridMultilevel"/>
    <w:tmpl w:val="CE9A93BE"/>
    <w:lvl w:ilvl="0" w:tplc="19E4A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62600"/>
    <w:multiLevelType w:val="hybridMultilevel"/>
    <w:tmpl w:val="EB628F46"/>
    <w:lvl w:ilvl="0" w:tplc="2000000F">
      <w:start w:val="1"/>
      <w:numFmt w:val="decimal"/>
      <w:lvlText w:val="%1."/>
      <w:lvlJc w:val="left"/>
      <w:pPr>
        <w:ind w:left="1789" w:hanging="360"/>
      </w:pPr>
    </w:lvl>
    <w:lvl w:ilvl="1" w:tplc="20000019" w:tentative="1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8561529"/>
    <w:multiLevelType w:val="hybridMultilevel"/>
    <w:tmpl w:val="C29EDA22"/>
    <w:lvl w:ilvl="0" w:tplc="5F7C7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307F77"/>
    <w:multiLevelType w:val="hybridMultilevel"/>
    <w:tmpl w:val="2F986456"/>
    <w:lvl w:ilvl="0" w:tplc="B42CB1E0">
      <w:start w:val="1"/>
      <w:numFmt w:val="decimal"/>
      <w:lvlText w:val="%1."/>
      <w:lvlJc w:val="left"/>
      <w:pPr>
        <w:ind w:left="1069" w:hanging="360"/>
      </w:pPr>
      <w:rPr>
        <w:rFonts w:eastAsia="TimesNewRoman,Italic" w:hint="default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101B67"/>
    <w:multiLevelType w:val="hybridMultilevel"/>
    <w:tmpl w:val="CBBEEDE6"/>
    <w:lvl w:ilvl="0" w:tplc="1A58F90C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80748">
    <w:abstractNumId w:val="0"/>
  </w:num>
  <w:num w:numId="2" w16cid:durableId="65349130">
    <w:abstractNumId w:val="4"/>
  </w:num>
  <w:num w:numId="3" w16cid:durableId="2127579993">
    <w:abstractNumId w:val="3"/>
  </w:num>
  <w:num w:numId="4" w16cid:durableId="1776100134">
    <w:abstractNumId w:val="1"/>
  </w:num>
  <w:num w:numId="5" w16cid:durableId="1029571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9A"/>
    <w:rsid w:val="004746D3"/>
    <w:rsid w:val="004A7A5E"/>
    <w:rsid w:val="005E0BB6"/>
    <w:rsid w:val="00635503"/>
    <w:rsid w:val="007C716B"/>
    <w:rsid w:val="00CE35B8"/>
    <w:rsid w:val="00D02DBD"/>
    <w:rsid w:val="00D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C311"/>
  <w15:chartTrackingRefBased/>
  <w15:docId w15:val="{695D7DF4-3FA9-47FD-87EC-F66DB9D7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9A"/>
  </w:style>
  <w:style w:type="paragraph" w:styleId="1">
    <w:name w:val="heading 1"/>
    <w:basedOn w:val="a"/>
    <w:next w:val="a"/>
    <w:link w:val="10"/>
    <w:qFormat/>
    <w:rsid w:val="00CE35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D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D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35B8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</cp:revision>
  <dcterms:created xsi:type="dcterms:W3CDTF">2023-11-26T15:49:00Z</dcterms:created>
  <dcterms:modified xsi:type="dcterms:W3CDTF">2023-11-27T14:43:00Z</dcterms:modified>
</cp:coreProperties>
</file>