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8D5C" w14:textId="59577E8B" w:rsidR="00925B94" w:rsidRDefault="00925B94" w:rsidP="00925B9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4.</w:t>
      </w:r>
    </w:p>
    <w:p w14:paraId="724B8E1A" w14:textId="77777777" w:rsidR="00AF5A74" w:rsidRPr="00925B94" w:rsidRDefault="00AF5A74" w:rsidP="00925B9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58F031" w14:textId="065DFB66" w:rsidR="00925B94" w:rsidRDefault="00925B94" w:rsidP="00925B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ПРОВЕДЕННЯ ТА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ОЦІНКИ ФУНКЦІОНАЛЬНИХ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ПРОБ.</w:t>
      </w:r>
    </w:p>
    <w:p w14:paraId="24BFABE5" w14:textId="486A8837" w:rsidR="00925B94" w:rsidRPr="00925B94" w:rsidRDefault="00925B94" w:rsidP="00925B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методикою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органах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8322BFB" w14:textId="619CF25D" w:rsidR="00925B94" w:rsidRPr="0056168F" w:rsidRDefault="00925B94" w:rsidP="00925B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168F">
        <w:rPr>
          <w:rFonts w:ascii="Times New Roman" w:hAnsi="Times New Roman" w:cs="Times New Roman"/>
          <w:sz w:val="28"/>
          <w:szCs w:val="28"/>
          <w:lang w:val="ru-RU"/>
        </w:rPr>
        <w:t>секундомір</w:t>
      </w:r>
      <w:proofErr w:type="spellEnd"/>
      <w:r w:rsidR="0056168F">
        <w:rPr>
          <w:rFonts w:ascii="Times New Roman" w:hAnsi="Times New Roman" w:cs="Times New Roman"/>
          <w:sz w:val="28"/>
          <w:szCs w:val="28"/>
          <w:lang w:val="ru-RU"/>
        </w:rPr>
        <w:t>, тонометр</w:t>
      </w:r>
    </w:p>
    <w:p w14:paraId="012C152F" w14:textId="77777777" w:rsidR="0056168F" w:rsidRDefault="0056168F" w:rsidP="00925B9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E3A70" w14:textId="5D0AC4C8" w:rsidR="00925B94" w:rsidRPr="00925B94" w:rsidRDefault="00925B94" w:rsidP="00925B9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</w:p>
    <w:p w14:paraId="18E74CB4" w14:textId="77777777" w:rsidR="00925B94" w:rsidRPr="00A23E69" w:rsidRDefault="00925B94" w:rsidP="00925B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метою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органах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925B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Повноцінне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уявлення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ряду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валідних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сторони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925B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25B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  <w:r w:rsidRPr="00925B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призводять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психоемоційного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активізації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нейроімуноендокринної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інтенсифікації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пред’являються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 основною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функцією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постачання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тканин, а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виведення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накопичуються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03A9C57" w14:textId="1879A792" w:rsidR="00925B94" w:rsidRDefault="00925B94" w:rsidP="005616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правило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 першу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(ЧСС)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(АТ), а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похідні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8D0C420" w14:textId="77777777" w:rsidR="0056168F" w:rsidRPr="0056168F" w:rsidRDefault="0056168F" w:rsidP="005616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338C70CD" w14:textId="77777777" w:rsidR="00925B94" w:rsidRDefault="00925B94" w:rsidP="00925B9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A59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4F0CD3">
        <w:rPr>
          <w:rFonts w:ascii="Times New Roman" w:hAnsi="Times New Roman" w:cs="Times New Roman"/>
          <w:sz w:val="28"/>
          <w:szCs w:val="28"/>
        </w:rPr>
        <w:t>.</w:t>
      </w:r>
    </w:p>
    <w:p w14:paraId="2DD02EFB" w14:textId="243D1658" w:rsidR="00925B94" w:rsidRPr="006819A1" w:rsidRDefault="006819A1" w:rsidP="006819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Оцінк</w:t>
      </w:r>
      <w:proofErr w:type="spellEnd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а</w:t>
      </w:r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серцево-судинної</w:t>
      </w:r>
      <w:proofErr w:type="spellEnd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системи</w:t>
      </w:r>
      <w:proofErr w:type="spellEnd"/>
    </w:p>
    <w:p w14:paraId="26A72A1A" w14:textId="1E6DB98A" w:rsidR="0056168F" w:rsidRDefault="00925B94" w:rsidP="0056168F">
      <w:pPr>
        <w:spacing w:after="0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Характеристика ЧСС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="0056168F"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поширеного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методу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пальпації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6168F"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проводиться</w:t>
      </w:r>
      <w:r w:rsidR="0056168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правій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лівій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руці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нижній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частині</w:t>
      </w:r>
      <w:proofErr w:type="spellEnd"/>
      <w:r w:rsidR="0056168F"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передпліччя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практично в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області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зап'ястя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лежить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="0056168F"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шкірою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паралельно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променевої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кістки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ближче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великого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56168F"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одним, а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кількома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рук,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допомагає</w:t>
      </w:r>
      <w:proofErr w:type="spellEnd"/>
      <w:r w:rsidR="0056168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швидше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точніше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коливання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артерій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="0056168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варто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встановлювати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ритмічність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наповнення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 w:rsidR="0056168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Характеристика пульсу в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серцевого</w:t>
      </w:r>
      <w:proofErr w:type="spellEnd"/>
      <w:r w:rsidR="0056168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м'яза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еластичності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циркулюючої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фізико-хімічного</w:t>
      </w:r>
      <w:proofErr w:type="spellEnd"/>
      <w:r w:rsidR="0056168F"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складу.</w:t>
      </w:r>
    </w:p>
    <w:p w14:paraId="68305A4E" w14:textId="428AB141" w:rsidR="0056168F" w:rsidRDefault="0056168F" w:rsidP="005616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(АТ)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методом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М.С.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Короткова,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АТ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ліктьовій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тонометру.</w:t>
      </w:r>
      <w:r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Манжета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приладу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оголене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плече,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груші</w:t>
      </w:r>
      <w:proofErr w:type="spellEnd"/>
      <w:r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накачується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приблизно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150-160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</w:t>
      </w:r>
      <w:proofErr w:type="spellEnd"/>
      <w:r w:rsidRPr="0056168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випускають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./сек.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вислуховують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тони.</w:t>
      </w:r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0" w:name="_Hlk140666111"/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Поява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звуків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відповідає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АТ-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систолічному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зникнення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‒ АТ-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діастолічному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різниця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між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ними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називається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пульсовим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тиском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(ПАТ).</w:t>
      </w:r>
      <w:bookmarkEnd w:id="0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Величина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АТс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силою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серцевого</w:t>
      </w:r>
      <w:proofErr w:type="spellEnd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скорочення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тонусом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судин</w:t>
      </w:r>
      <w:proofErr w:type="spellEnd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6FAE23E3" w14:textId="5689DDA8" w:rsidR="001813A3" w:rsidRPr="001813A3" w:rsidRDefault="001813A3" w:rsidP="001813A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1813A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Виміряти</w:t>
      </w:r>
      <w:proofErr w:type="spellEnd"/>
      <w:r w:rsidRPr="001813A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ЧСС та АТ у </w:t>
      </w:r>
      <w:proofErr w:type="spellStart"/>
      <w:r w:rsidRPr="001813A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стані</w:t>
      </w:r>
      <w:proofErr w:type="spellEnd"/>
      <w:r w:rsidRPr="001813A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спокою.</w:t>
      </w:r>
    </w:p>
    <w:p w14:paraId="53741470" w14:textId="77777777" w:rsidR="001813A3" w:rsidRDefault="001813A3" w:rsidP="0056168F">
      <w:pPr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bookmarkStart w:id="1" w:name="_Hlk140665843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Нормальна ЧСС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60-89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О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птимальним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методом Короткова,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АТс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не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суттєво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нижчий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120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і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АТд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незначно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нижчий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80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0491BBD" w14:textId="37701BD4" w:rsidR="001813A3" w:rsidRPr="001813A3" w:rsidRDefault="00E14921" w:rsidP="00E1492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F5A74">
        <w:rPr>
          <w:rFonts w:ascii="Times New Roman" w:eastAsia="TimesNewRoman,Italic" w:hAnsi="Times New Roman" w:cs="Times New Roman"/>
          <w:b/>
          <w:bCs/>
          <w:sz w:val="28"/>
          <w:szCs w:val="28"/>
        </w:rPr>
        <w:t>Індекс</w:t>
      </w:r>
      <w:proofErr w:type="spellEnd"/>
      <w:r w:rsidRPr="00AF5A74">
        <w:rPr>
          <w:rFonts w:ascii="Times New Roman" w:eastAsia="TimesNewRoman,Itali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5A74">
        <w:rPr>
          <w:rFonts w:ascii="Times New Roman" w:eastAsia="TimesNewRoman,Italic" w:hAnsi="Times New Roman" w:cs="Times New Roman"/>
          <w:b/>
          <w:bCs/>
          <w:sz w:val="28"/>
          <w:szCs w:val="28"/>
        </w:rPr>
        <w:t>Робінсона</w:t>
      </w:r>
      <w:proofErr w:type="spellEnd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 xml:space="preserve">- </w:t>
      </w:r>
      <w:r>
        <w:rPr>
          <w:rFonts w:ascii="Times New Roman" w:eastAsia="TimesNewRoman" w:hAnsi="Times New Roman" w:cs="Times New Roman"/>
          <w:sz w:val="28"/>
          <w:szCs w:val="28"/>
          <w:lang w:val="ru-RU"/>
        </w:rPr>
        <w:t>о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цінк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у</w:t>
      </w:r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серцево-судинної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системи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(ССС) у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стані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спокою 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визначають</w:t>
      </w:r>
      <w:proofErr w:type="spellEnd"/>
      <w:proofErr w:type="gram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індексом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Робінсона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>,</w:t>
      </w:r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інтегральному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рівні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визначає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ступінь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економізації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серцево-судинної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людини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Розраховується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даний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індекс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>наступним</w:t>
      </w:r>
      <w:proofErr w:type="spellEnd"/>
      <w:r w:rsidR="001813A3" w:rsidRPr="001813A3">
        <w:rPr>
          <w:rFonts w:ascii="Times New Roman" w:eastAsia="TimesNewRoman" w:hAnsi="Times New Roman" w:cs="Times New Roman"/>
          <w:sz w:val="28"/>
          <w:szCs w:val="28"/>
        </w:rPr>
        <w:t xml:space="preserve"> чином:</w:t>
      </w:r>
    </w:p>
    <w:p w14:paraId="7FB9ED09" w14:textId="77777777" w:rsidR="001813A3" w:rsidRPr="001813A3" w:rsidRDefault="001813A3" w:rsidP="00E1492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Індекс</w:t>
      </w:r>
      <w:proofErr w:type="spellEnd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Робінсона</w:t>
      </w:r>
      <w:proofErr w:type="spellEnd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>(</w:t>
      </w:r>
      <w:proofErr w:type="spellStart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АТс</w:t>
      </w:r>
      <w:proofErr w:type="spellEnd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13A3">
        <w:rPr>
          <w:rFonts w:ascii="Times New Roman" w:eastAsia="TimesNewRoman" w:hAnsi="Times New Roman" w:cs="Times New Roman"/>
          <w:b/>
          <w:bCs/>
          <w:sz w:val="28"/>
          <w:szCs w:val="28"/>
        </w:rPr>
        <w:t>×</w:t>
      </w:r>
      <w:r w:rsidRPr="001813A3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ЧСС</w:t>
      </w:r>
      <w:proofErr w:type="gramStart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>) :</w:t>
      </w:r>
      <w:proofErr w:type="gramEnd"/>
      <w:r w:rsidRPr="001813A3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1813A3">
        <w:rPr>
          <w:rFonts w:ascii="Times New Roman" w:eastAsia="TimesNewRoman" w:hAnsi="Times New Roman" w:cs="Times New Roman"/>
          <w:b/>
          <w:bCs/>
          <w:sz w:val="28"/>
          <w:szCs w:val="28"/>
        </w:rPr>
        <w:t>100</w:t>
      </w:r>
    </w:p>
    <w:p w14:paraId="1AC76822" w14:textId="0FB4F3C8" w:rsidR="001813A3" w:rsidRPr="00E14921" w:rsidRDefault="001813A3" w:rsidP="00E1492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інтерпретації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показників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індексу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Робінсона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можна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скористатися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даними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E14921">
        <w:rPr>
          <w:rFonts w:ascii="Times New Roman" w:eastAsia="TimesNewRoman" w:hAnsi="Times New Roman" w:cs="Times New Roman"/>
          <w:sz w:val="28"/>
          <w:szCs w:val="28"/>
        </w:rPr>
        <w:t>Г.Л.</w:t>
      </w:r>
      <w:proofErr w:type="gram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Апанасенко,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представлені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E14921">
        <w:rPr>
          <w:rFonts w:ascii="Times New Roman" w:eastAsia="TimesNewRoman" w:hAnsi="Times New Roman" w:cs="Times New Roman"/>
          <w:sz w:val="28"/>
          <w:szCs w:val="28"/>
        </w:rPr>
        <w:t>таблиці</w:t>
      </w:r>
      <w:proofErr w:type="spellEnd"/>
      <w:r w:rsidRPr="00E149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E14921">
        <w:rPr>
          <w:rFonts w:ascii="Times New Roman" w:eastAsia="TimesNewRoman" w:hAnsi="Times New Roman" w:cs="Times New Roman"/>
          <w:sz w:val="28"/>
          <w:szCs w:val="28"/>
          <w:lang w:val="ru-RU"/>
        </w:rPr>
        <w:t>1</w:t>
      </w:r>
      <w:r w:rsidRPr="00E14921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6EF2AF8C" w14:textId="085D937C" w:rsidR="001813A3" w:rsidRPr="001813A3" w:rsidRDefault="001813A3" w:rsidP="00E14921">
      <w:pPr>
        <w:pStyle w:val="a4"/>
        <w:spacing w:line="276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813A3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1813A3">
        <w:rPr>
          <w:rFonts w:ascii="Times New Roman" w:hAnsi="Times New Roman" w:cs="Times New Roman"/>
          <w:sz w:val="28"/>
          <w:szCs w:val="28"/>
        </w:rPr>
        <w:t xml:space="preserve"> </w:t>
      </w:r>
      <w:r w:rsidR="00E14921" w:rsidRPr="00AF5A74">
        <w:rPr>
          <w:rFonts w:ascii="Times New Roman" w:hAnsi="Times New Roman" w:cs="Times New Roman"/>
          <w:sz w:val="28"/>
          <w:szCs w:val="28"/>
        </w:rPr>
        <w:t>1</w:t>
      </w:r>
      <w:r w:rsidRPr="001813A3">
        <w:rPr>
          <w:rFonts w:ascii="Times New Roman" w:hAnsi="Times New Roman" w:cs="Times New Roman"/>
          <w:sz w:val="28"/>
          <w:szCs w:val="28"/>
        </w:rPr>
        <w:t>.</w:t>
      </w:r>
    </w:p>
    <w:p w14:paraId="6F458DD6" w14:textId="77777777" w:rsidR="001813A3" w:rsidRPr="001813A3" w:rsidRDefault="001813A3" w:rsidP="00E14921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13A3">
        <w:rPr>
          <w:rFonts w:ascii="Times New Roman" w:eastAsia="TimesNewRoman" w:hAnsi="Times New Roman" w:cs="Times New Roman"/>
          <w:sz w:val="28"/>
          <w:szCs w:val="28"/>
        </w:rPr>
        <w:t>Оціночні</w:t>
      </w:r>
      <w:proofErr w:type="spellEnd"/>
      <w:r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813A3">
        <w:rPr>
          <w:rFonts w:ascii="Times New Roman" w:eastAsia="TimesNewRoman" w:hAnsi="Times New Roman" w:cs="Times New Roman"/>
          <w:sz w:val="28"/>
          <w:szCs w:val="28"/>
        </w:rPr>
        <w:t>рівні</w:t>
      </w:r>
      <w:proofErr w:type="spellEnd"/>
      <w:r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813A3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Pr="001813A3">
        <w:rPr>
          <w:rFonts w:ascii="Times New Roman" w:eastAsia="TimesNewRoman" w:hAnsi="Times New Roman" w:cs="Times New Roman"/>
          <w:sz w:val="28"/>
          <w:szCs w:val="28"/>
        </w:rPr>
        <w:t xml:space="preserve"> ССС за </w:t>
      </w:r>
      <w:proofErr w:type="spellStart"/>
      <w:r w:rsidRPr="001813A3">
        <w:rPr>
          <w:rFonts w:ascii="Times New Roman" w:eastAsia="TimesNewRoman" w:hAnsi="Times New Roman" w:cs="Times New Roman"/>
          <w:sz w:val="28"/>
          <w:szCs w:val="28"/>
        </w:rPr>
        <w:t>індексом</w:t>
      </w:r>
      <w:proofErr w:type="spellEnd"/>
      <w:r w:rsidRPr="001813A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813A3">
        <w:rPr>
          <w:rFonts w:ascii="Times New Roman" w:eastAsia="TimesNewRoman" w:hAnsi="Times New Roman" w:cs="Times New Roman"/>
          <w:sz w:val="28"/>
          <w:szCs w:val="28"/>
        </w:rPr>
        <w:t>Робінсона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13A3" w:rsidRPr="000E6881" w14:paraId="26D3712D" w14:textId="77777777" w:rsidTr="004A7EFE">
        <w:tc>
          <w:tcPr>
            <w:tcW w:w="4672" w:type="dxa"/>
          </w:tcPr>
          <w:p w14:paraId="5A5F2DDF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Оціночні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рівні</w:t>
            </w:r>
            <w:proofErr w:type="spellEnd"/>
          </w:p>
        </w:tc>
        <w:tc>
          <w:tcPr>
            <w:tcW w:w="4673" w:type="dxa"/>
          </w:tcPr>
          <w:p w14:paraId="106FA9D8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Показники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індексу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Робінсона</w:t>
            </w:r>
            <w:proofErr w:type="spellEnd"/>
          </w:p>
        </w:tc>
      </w:tr>
      <w:tr w:rsidR="001813A3" w:rsidRPr="000E6881" w14:paraId="30BD7EB7" w14:textId="77777777" w:rsidTr="004A7EFE">
        <w:tc>
          <w:tcPr>
            <w:tcW w:w="4672" w:type="dxa"/>
          </w:tcPr>
          <w:p w14:paraId="18A99D8C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Високий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</w:tc>
        <w:tc>
          <w:tcPr>
            <w:tcW w:w="4673" w:type="dxa"/>
          </w:tcPr>
          <w:p w14:paraId="3E0DC14D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69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</w:tr>
      <w:tr w:rsidR="001813A3" w:rsidRPr="000E6881" w14:paraId="659A7A0F" w14:textId="77777777" w:rsidTr="004A7EFE">
        <w:tc>
          <w:tcPr>
            <w:tcW w:w="4672" w:type="dxa"/>
          </w:tcPr>
          <w:p w14:paraId="70B300DA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Вище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середнього</w:t>
            </w:r>
            <w:proofErr w:type="spellEnd"/>
          </w:p>
        </w:tc>
        <w:tc>
          <w:tcPr>
            <w:tcW w:w="4673" w:type="dxa"/>
          </w:tcPr>
          <w:p w14:paraId="1E34AB40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70-84</w:t>
            </w:r>
          </w:p>
        </w:tc>
      </w:tr>
      <w:tr w:rsidR="001813A3" w:rsidRPr="000E6881" w14:paraId="2014E883" w14:textId="77777777" w:rsidTr="004A7EFE">
        <w:tc>
          <w:tcPr>
            <w:tcW w:w="4672" w:type="dxa"/>
          </w:tcPr>
          <w:p w14:paraId="72497A0C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Середній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</w:tc>
        <w:tc>
          <w:tcPr>
            <w:tcW w:w="4673" w:type="dxa"/>
          </w:tcPr>
          <w:p w14:paraId="07DC0E15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85-94</w:t>
            </w:r>
          </w:p>
        </w:tc>
      </w:tr>
      <w:tr w:rsidR="001813A3" w:rsidRPr="000E6881" w14:paraId="06686D4A" w14:textId="77777777" w:rsidTr="004A7EFE">
        <w:tc>
          <w:tcPr>
            <w:tcW w:w="4672" w:type="dxa"/>
          </w:tcPr>
          <w:p w14:paraId="5D28BBDC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Нижче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середнього</w:t>
            </w:r>
            <w:proofErr w:type="spellEnd"/>
          </w:p>
        </w:tc>
        <w:tc>
          <w:tcPr>
            <w:tcW w:w="4673" w:type="dxa"/>
          </w:tcPr>
          <w:p w14:paraId="7EBBD1B1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95-110</w:t>
            </w:r>
          </w:p>
        </w:tc>
      </w:tr>
      <w:tr w:rsidR="001813A3" w:rsidRPr="000E6881" w14:paraId="3E094471" w14:textId="77777777" w:rsidTr="004A7EFE">
        <w:tc>
          <w:tcPr>
            <w:tcW w:w="4672" w:type="dxa"/>
          </w:tcPr>
          <w:p w14:paraId="6F355844" w14:textId="77777777" w:rsidR="001813A3" w:rsidRPr="008C69E4" w:rsidRDefault="001813A3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Низький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</w:tc>
        <w:tc>
          <w:tcPr>
            <w:tcW w:w="4673" w:type="dxa"/>
          </w:tcPr>
          <w:p w14:paraId="6C88253B" w14:textId="3408F9D3" w:rsidR="001813A3" w:rsidRPr="00E14921" w:rsidRDefault="001813A3" w:rsidP="00E149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14921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</w:tbl>
    <w:p w14:paraId="04B7F8A9" w14:textId="77777777" w:rsidR="00E14921" w:rsidRDefault="00E14921" w:rsidP="00E14921">
      <w:pPr>
        <w:pStyle w:val="a4"/>
        <w:ind w:left="106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56A81353" w14:textId="2EACBE30" w:rsidR="00E14921" w:rsidRPr="00E14921" w:rsidRDefault="00E14921" w:rsidP="00E1492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ульсовий</w:t>
      </w:r>
      <w:proofErr w:type="spell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артеріальний</w:t>
      </w:r>
      <w:proofErr w:type="spell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(ПАТ)</w:t>
      </w:r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обсяг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E1492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викидається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лівого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шлуночка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систоли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Розраховується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8FA38F0" w14:textId="77777777" w:rsidR="00E14921" w:rsidRPr="00E14921" w:rsidRDefault="00E14921" w:rsidP="00EA5EE8">
      <w:pPr>
        <w:pStyle w:val="a4"/>
        <w:autoSpaceDE w:val="0"/>
        <w:autoSpaceDN w:val="0"/>
        <w:adjustRightInd w:val="0"/>
        <w:spacing w:before="240" w:line="360" w:lineRule="auto"/>
        <w:ind w:left="0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E1492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ПАТ = </w:t>
      </w:r>
      <w:proofErr w:type="spellStart"/>
      <w:r w:rsidRPr="00E1492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АТс</w:t>
      </w:r>
      <w:proofErr w:type="spellEnd"/>
      <w:r w:rsidRPr="00E1492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‒ </w:t>
      </w:r>
      <w:proofErr w:type="spellStart"/>
      <w:r w:rsidRPr="00E1492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АТд</w:t>
      </w:r>
      <w:proofErr w:type="spellEnd"/>
    </w:p>
    <w:p w14:paraId="0267043E" w14:textId="77777777" w:rsidR="00E14921" w:rsidRPr="00E14921" w:rsidRDefault="00E14921" w:rsidP="00EA5EE8">
      <w:pPr>
        <w:pStyle w:val="a4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Нормативний</w:t>
      </w:r>
      <w:proofErr w:type="spell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ПАТ </w:t>
      </w: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30-50</w:t>
      </w:r>
      <w:proofErr w:type="gramEnd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мм. </w:t>
      </w:r>
      <w:proofErr w:type="spellStart"/>
      <w:r w:rsidRPr="00E1492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рт.с</w:t>
      </w:r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т</w:t>
      </w:r>
      <w:proofErr w:type="spellEnd"/>
      <w:r w:rsidRPr="00E1492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E1492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D6DEDD" w14:textId="0D9AC4D4" w:rsidR="00EA5EE8" w:rsidRPr="00EA5EE8" w:rsidRDefault="00EA5EE8" w:rsidP="00EA5EE8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spellStart"/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ередн</w:t>
      </w:r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ій</w:t>
      </w:r>
      <w:proofErr w:type="spellEnd"/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</w:t>
      </w:r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(САТ)</w:t>
      </w:r>
      <w:r w:rsidRPr="00EA5E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- </w:t>
      </w:r>
      <w:proofErr w:type="spellStart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інформативни</w:t>
      </w:r>
      <w:proofErr w:type="spellEnd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й</w:t>
      </w:r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</w:t>
      </w:r>
      <w:r w:rsidRPr="00EA5EE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овується</w:t>
      </w:r>
      <w:proofErr w:type="spellEnd"/>
      <w:r w:rsidRPr="00EA5EE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5EE8">
        <w:rPr>
          <w:rFonts w:ascii="Times New Roman" w:eastAsia="TimesNewRoman" w:hAnsi="Times New Roman" w:cs="Times New Roman"/>
          <w:color w:val="000000"/>
          <w:sz w:val="28"/>
          <w:szCs w:val="28"/>
        </w:rPr>
        <w:t>за формулою:</w:t>
      </w:r>
    </w:p>
    <w:p w14:paraId="0E30A924" w14:textId="0F054CED" w:rsidR="00EA5EE8" w:rsidRPr="00F56878" w:rsidRDefault="00EA5EE8" w:rsidP="00EA5EE8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САТ = 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(</w:t>
      </w:r>
      <w:proofErr w:type="gram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ПАТ</w:t>
      </w: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:</w:t>
      </w:r>
      <w:proofErr w:type="gramEnd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3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)</w:t>
      </w: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+ </w:t>
      </w:r>
      <w:proofErr w:type="spell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АТд</w:t>
      </w:r>
      <w:proofErr w:type="spellEnd"/>
    </w:p>
    <w:p w14:paraId="7BD59048" w14:textId="77777777" w:rsidR="00EA5EE8" w:rsidRPr="00F56878" w:rsidRDefault="00EA5EE8" w:rsidP="0062189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САТ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70-100</w:t>
      </w:r>
      <w:proofErr w:type="gram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мм. рт.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10-30 мм.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рт.ст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0395118" w14:textId="4D47044F" w:rsidR="00621899" w:rsidRPr="00621899" w:rsidRDefault="00621899" w:rsidP="00621899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proofErr w:type="spellStart"/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дарний</w:t>
      </w:r>
      <w:proofErr w:type="spellEnd"/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об’єм</w:t>
      </w:r>
      <w:proofErr w:type="spellEnd"/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(УО)</w:t>
      </w:r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Pr="0062189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2189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</w:t>
      </w:r>
      <w:r w:rsidRPr="0062189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 Й</w:t>
      </w:r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ого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розрахувати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скориставшись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 </w:t>
      </w:r>
      <w:proofErr w:type="spellStart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>Лілієністранда</w:t>
      </w:r>
      <w:proofErr w:type="spellEnd"/>
      <w:r w:rsidRPr="0062189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Цандера:</w:t>
      </w:r>
    </w:p>
    <w:p w14:paraId="4F89B57F" w14:textId="77777777" w:rsidR="00621899" w:rsidRPr="00F56878" w:rsidRDefault="00621899" w:rsidP="00621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УО = (</w:t>
      </w:r>
      <w:proofErr w:type="gram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ПАТ 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:</w:t>
      </w:r>
      <w:proofErr w:type="gram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САТ) × 100</w:t>
      </w:r>
    </w:p>
    <w:p w14:paraId="7104AF09" w14:textId="77777777" w:rsidR="00621899" w:rsidRPr="00F56878" w:rsidRDefault="00621899" w:rsidP="00C00E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ПАТ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САТ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BBBEDAB" w14:textId="3A4E3699" w:rsidR="00621899" w:rsidRPr="00C00ED0" w:rsidRDefault="00C00ED0" w:rsidP="00C00ED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Серцевий</w:t>
      </w:r>
      <w:proofErr w:type="spellEnd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викид</w:t>
      </w:r>
      <w:proofErr w:type="spellEnd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хвилинний</w:t>
      </w:r>
      <w:proofErr w:type="spellEnd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об'єм</w:t>
      </w:r>
      <w:proofErr w:type="spellEnd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крові</w:t>
      </w:r>
      <w:proofErr w:type="spellEnd"/>
      <w:r w:rsidRPr="00C00ED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(ХОК)</w:t>
      </w:r>
      <w:r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–</w:t>
      </w:r>
      <w:r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ажливим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мілілітрах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викидає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серце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отримують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наступною</w:t>
      </w:r>
      <w:proofErr w:type="spellEnd"/>
      <w:r w:rsidR="00621899" w:rsidRPr="00C00E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5399ADA2" w14:textId="77777777" w:rsidR="00621899" w:rsidRPr="00F56878" w:rsidRDefault="00621899" w:rsidP="00621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ХОК (мл/</w:t>
      </w:r>
      <w:proofErr w:type="spell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) = УО × ЧСС</w:t>
      </w:r>
    </w:p>
    <w:p w14:paraId="49A70B00" w14:textId="77777777" w:rsidR="00621899" w:rsidRPr="00F56878" w:rsidRDefault="00621899" w:rsidP="00681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УО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ударний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(мл); ЧСС ‒ частота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p w14:paraId="285DCF1A" w14:textId="5A548C7C" w:rsidR="00621899" w:rsidRPr="006D742D" w:rsidRDefault="00621899" w:rsidP="006819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ХОК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3500-5000</w:t>
      </w:r>
      <w:proofErr w:type="gram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мл.</w:t>
      </w:r>
    </w:p>
    <w:p w14:paraId="4BE9C85B" w14:textId="1F174CD2" w:rsidR="006819A1" w:rsidRDefault="006819A1" w:rsidP="006819A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периферичного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оп</w:t>
      </w:r>
      <w:r w:rsidRPr="008B7E6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</w:t>
      </w:r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ру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судин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(ПОС),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віддзеркалює</w:t>
      </w:r>
      <w:proofErr w:type="spellEnd"/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постійність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доповнює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гемодинамічне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ПОС при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відображають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реакцію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капілярного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русла, яка в свою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обсягу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циркулюючої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Р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озраховується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формулою:</w:t>
      </w:r>
    </w:p>
    <w:p w14:paraId="7457617D" w14:textId="506BA019" w:rsidR="006819A1" w:rsidRPr="006819A1" w:rsidRDefault="006819A1" w:rsidP="006819A1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6819A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ПОС = (</w:t>
      </w:r>
      <w:r w:rsidRPr="006819A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САТ </w:t>
      </w:r>
      <w:r w:rsidRPr="006819A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×1330 × 60</w:t>
      </w:r>
      <w:proofErr w:type="gramStart"/>
      <w:r w:rsidRPr="006819A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:</w:t>
      </w:r>
      <w:proofErr w:type="gramEnd"/>
      <w:r w:rsidRPr="006819A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19A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ХОК</w:t>
      </w:r>
    </w:p>
    <w:p w14:paraId="5743FB4F" w14:textId="77777777" w:rsidR="006819A1" w:rsidRDefault="006819A1" w:rsidP="00681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САТ ‒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.; 1330 ‒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коефіцієнт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конвертування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діни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Pr="006819A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60 ‒ число секунд у </w:t>
      </w:r>
      <w:proofErr w:type="spellStart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6819A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E47ED38" w14:textId="18643910" w:rsidR="00C50049" w:rsidRPr="006819A1" w:rsidRDefault="00C50049" w:rsidP="00C500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ПОС</w:t>
      </w:r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800-1200 </w:t>
      </w:r>
      <w:proofErr w:type="spellStart"/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proofErr w:type="gramEnd"/>
    </w:p>
    <w:p w14:paraId="29967F24" w14:textId="0A9314A4" w:rsidR="00C50049" w:rsidRPr="00C50049" w:rsidRDefault="00C50049" w:rsidP="00C50049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Коефіцієнт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ефективності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кровообігу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(КЕК)</w:t>
      </w:r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широко</w:t>
      </w:r>
      <w:r w:rsidRPr="00C5004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застосовується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характеристики стану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вираховується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за формулою</w:t>
      </w:r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0D984885" w14:textId="77777777" w:rsidR="00C50049" w:rsidRPr="00C50049" w:rsidRDefault="00C50049" w:rsidP="00C50049">
      <w:pPr>
        <w:pStyle w:val="a4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C5004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КЕК = ПАТ </w:t>
      </w:r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× </w:t>
      </w:r>
      <w:r w:rsidRPr="00C5004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ЧСС (</w:t>
      </w:r>
      <w:proofErr w:type="spellStart"/>
      <w:r w:rsidRPr="00C5004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ум.од</w:t>
      </w:r>
      <w:proofErr w:type="spellEnd"/>
      <w:r w:rsidRPr="00C5004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.)</w:t>
      </w:r>
    </w:p>
    <w:p w14:paraId="128AE3B9" w14:textId="35DDD8D2" w:rsidR="00925B94" w:rsidRPr="00B53A0D" w:rsidRDefault="00C50049" w:rsidP="00B53A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Нормативне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КЕК </w:t>
      </w: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приблизно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2600 </w:t>
      </w:r>
      <w:proofErr w:type="spellStart"/>
      <w:r w:rsidRPr="00C5004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.,</w:t>
      </w:r>
      <w:r w:rsidRPr="00C5004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при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стомленні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зростає</w:t>
      </w:r>
      <w:proofErr w:type="spellEnd"/>
      <w:r w:rsidRPr="00C5004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F7D0A73" w14:textId="7B0ECBA3" w:rsidR="00A74487" w:rsidRPr="00B53A0D" w:rsidRDefault="00A74487" w:rsidP="00B53A0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2" w:name="_Hlk140739906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spellStart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егетативного</w:t>
      </w:r>
      <w:proofErr w:type="spellEnd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індексу</w:t>
      </w:r>
      <w:proofErr w:type="spellEnd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Кердо</w:t>
      </w:r>
      <w:proofErr w:type="spellEnd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(ВІК)</w:t>
      </w: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вираховується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</w:t>
      </w:r>
    </w:p>
    <w:p w14:paraId="2B06D630" w14:textId="77777777" w:rsidR="00A74487" w:rsidRPr="00413DA9" w:rsidRDefault="00A74487" w:rsidP="00A744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ВІК = (1 – </w:t>
      </w:r>
      <w:proofErr w:type="gramStart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 w:rsidRPr="00590B8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proofErr w:type="gramEnd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)×100,</w:t>
      </w:r>
    </w:p>
    <w:p w14:paraId="4053C561" w14:textId="77777777" w:rsidR="00A74487" w:rsidRPr="00F56878" w:rsidRDefault="00A74487" w:rsidP="00A744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де ВІК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Кердо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ум.од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.);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d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АТ</w:t>
      </w:r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мм.рт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 ст.);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ЧСС (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bookmarkEnd w:id="2"/>
    <w:p w14:paraId="68C80130" w14:textId="430850F4" w:rsidR="00A74487" w:rsidRPr="00F56878" w:rsidRDefault="00A74487" w:rsidP="00A744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Згідно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вищезазначеної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формули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якщо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d/р = 1,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тобто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збігається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середнім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значенням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то ВІК = 0 і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відповідає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вегетативної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рівноваги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ейтонії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).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±0,15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збалансованої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симпатичний</w:t>
      </w:r>
      <w:proofErr w:type="spellEnd"/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(ВНС)</w:t>
      </w:r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динамічної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рівноваги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d/р&gt;1, то ВІК ‒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d/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р&lt;</w:t>
      </w:r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1, то ВІК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ВІК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свідчать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зсув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вегетативного тонусу в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бік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симпатичної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переваги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симпатичний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функцію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поживл</w:t>
      </w:r>
      <w:r w:rsidRPr="00042055">
        <w:rPr>
          <w:rFonts w:ascii="Times New Roman" w:eastAsia="TimesNewRoman" w:hAnsi="Times New Roman" w:cs="Times New Roman"/>
          <w:color w:val="000000"/>
          <w:sz w:val="28"/>
          <w:szCs w:val="28"/>
        </w:rPr>
        <w:t>ю</w:t>
      </w:r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ючи</w:t>
      </w:r>
      <w:proofErr w:type="spellEnd"/>
      <w:r w:rsidRPr="008B7E6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екстремальних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бік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парасимпатичної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парасимпатичний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трофічну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функцію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забезпечуючи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03F2A4DB" w14:textId="3A2F3018" w:rsidR="00B53A0D" w:rsidRPr="00B53A0D" w:rsidRDefault="00B53A0D" w:rsidP="00B53A0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proofErr w:type="spellStart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даптаційн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потенціал</w:t>
      </w:r>
      <w:proofErr w:type="spellEnd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(АП)</w:t>
      </w: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за Р.М. </w:t>
      </w:r>
      <w:proofErr w:type="spellStart"/>
      <w:r w:rsidRPr="00B53A0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Баєвським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співавторами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5F8CFE71" w14:textId="77777777" w:rsidR="00B53A0D" w:rsidRDefault="00B53A0D" w:rsidP="00B53A0D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</w:pPr>
    </w:p>
    <w:p w14:paraId="0EAB18D0" w14:textId="3C03241B" w:rsidR="00B53A0D" w:rsidRPr="00B53A0D" w:rsidRDefault="00B53A0D" w:rsidP="00B53A0D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</w:pP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АП =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0,011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ЧСС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0,014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proofErr w:type="spellStart"/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АТс</w:t>
      </w:r>
      <w:proofErr w:type="spellEnd"/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0,008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proofErr w:type="spellStart"/>
      <w:proofErr w:type="gramStart"/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АТд</w:t>
      </w:r>
      <w:proofErr w:type="spellEnd"/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proofErr w:type="gramEnd"/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+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0,014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0,009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>×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МТ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‒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0,009 </w:t>
      </w:r>
      <w:r w:rsidRPr="00B53A0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ДТ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B53A0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‒ 0,273</w:t>
      </w:r>
    </w:p>
    <w:p w14:paraId="54E3A054" w14:textId="77777777" w:rsidR="00B53A0D" w:rsidRPr="00B53A0D" w:rsidRDefault="00B53A0D" w:rsidP="00B53A0D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В –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роках, МТ –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кг), ДТ –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зріст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см),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систолічний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діастолічний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.),</w:t>
      </w: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ЧСС – частота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p w14:paraId="3B8A9C45" w14:textId="53764982" w:rsidR="00B53A0D" w:rsidRPr="00B53A0D" w:rsidRDefault="00B53A0D" w:rsidP="00B53A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наведена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групами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адаптаційного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Р.М.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Баєвським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F99D02B" w14:textId="6161C5EF" w:rsidR="00B53A0D" w:rsidRPr="00B53A0D" w:rsidRDefault="00B53A0D" w:rsidP="00B53A0D">
      <w:pPr>
        <w:autoSpaceDE w:val="0"/>
        <w:autoSpaceDN w:val="0"/>
        <w:adjustRightInd w:val="0"/>
        <w:spacing w:after="0" w:line="276" w:lineRule="auto"/>
        <w:ind w:left="709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</w:p>
    <w:p w14:paraId="5AD3D7F0" w14:textId="77777777" w:rsidR="00B53A0D" w:rsidRPr="00B53A0D" w:rsidRDefault="00B53A0D" w:rsidP="00B53A0D">
      <w:pPr>
        <w:spacing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Р.М. </w:t>
      </w:r>
      <w:proofErr w:type="spellStart"/>
      <w:r w:rsidRPr="00B53A0D">
        <w:rPr>
          <w:rFonts w:ascii="Times New Roman" w:eastAsia="TimesNewRoman" w:hAnsi="Times New Roman" w:cs="Times New Roman"/>
          <w:color w:val="000000"/>
          <w:sz w:val="28"/>
          <w:szCs w:val="28"/>
        </w:rPr>
        <w:t>Баєвським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134"/>
        <w:gridCol w:w="2829"/>
      </w:tblGrid>
      <w:tr w:rsidR="00B53A0D" w:rsidRPr="009E7CDF" w14:paraId="5E1680A5" w14:textId="77777777" w:rsidTr="004A7EFE">
        <w:tc>
          <w:tcPr>
            <w:tcW w:w="1696" w:type="dxa"/>
          </w:tcPr>
          <w:p w14:paraId="0C0FF59F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АП</w:t>
            </w:r>
          </w:p>
        </w:tc>
        <w:tc>
          <w:tcPr>
            <w:tcW w:w="3686" w:type="dxa"/>
          </w:tcPr>
          <w:p w14:paraId="5B4E89A9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Функціональний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стан</w:t>
            </w:r>
          </w:p>
        </w:tc>
        <w:tc>
          <w:tcPr>
            <w:tcW w:w="1134" w:type="dxa"/>
          </w:tcPr>
          <w:p w14:paraId="6F03FB5F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Група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здоров'я</w:t>
            </w:r>
            <w:proofErr w:type="spellEnd"/>
          </w:p>
        </w:tc>
        <w:tc>
          <w:tcPr>
            <w:tcW w:w="2829" w:type="dxa"/>
          </w:tcPr>
          <w:p w14:paraId="06CF69B2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Рекомендації</w:t>
            </w:r>
            <w:proofErr w:type="spellEnd"/>
          </w:p>
        </w:tc>
      </w:tr>
      <w:tr w:rsidR="00B53A0D" w:rsidRPr="009E7CDF" w14:paraId="2C7BF906" w14:textId="77777777" w:rsidTr="004A7EFE">
        <w:tc>
          <w:tcPr>
            <w:tcW w:w="1696" w:type="dxa"/>
          </w:tcPr>
          <w:p w14:paraId="20520F83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Нижче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2.60</w:t>
            </w:r>
          </w:p>
        </w:tc>
        <w:tc>
          <w:tcPr>
            <w:tcW w:w="3686" w:type="dxa"/>
          </w:tcPr>
          <w:p w14:paraId="0729D8B4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Задовільна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адаптація</w:t>
            </w:r>
            <w:proofErr w:type="spellEnd"/>
          </w:p>
        </w:tc>
        <w:tc>
          <w:tcPr>
            <w:tcW w:w="1134" w:type="dxa"/>
          </w:tcPr>
          <w:p w14:paraId="6B6B2923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829" w:type="dxa"/>
          </w:tcPr>
          <w:p w14:paraId="091602F4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Загальні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оздоровчі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  <w:tr w:rsidR="00B53A0D" w:rsidRPr="009E7CDF" w14:paraId="35FE7924" w14:textId="77777777" w:rsidTr="004A7EFE">
        <w:tc>
          <w:tcPr>
            <w:tcW w:w="1696" w:type="dxa"/>
          </w:tcPr>
          <w:p w14:paraId="2B0D1F5E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2.60-3.09</w:t>
            </w:r>
          </w:p>
        </w:tc>
        <w:tc>
          <w:tcPr>
            <w:tcW w:w="3686" w:type="dxa"/>
          </w:tcPr>
          <w:p w14:paraId="317917DD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Напруження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механізмів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</w:p>
        </w:tc>
        <w:tc>
          <w:tcPr>
            <w:tcW w:w="1134" w:type="dxa"/>
          </w:tcPr>
          <w:p w14:paraId="0D955467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829" w:type="dxa"/>
          </w:tcPr>
          <w:p w14:paraId="34D3A219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Оздоровчі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профілактичні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  <w:tr w:rsidR="00B53A0D" w14:paraId="37E15AB9" w14:textId="77777777" w:rsidTr="004A7EFE">
        <w:tc>
          <w:tcPr>
            <w:tcW w:w="1696" w:type="dxa"/>
          </w:tcPr>
          <w:p w14:paraId="7E7A2EAB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3.10-3.49</w:t>
            </w:r>
          </w:p>
        </w:tc>
        <w:tc>
          <w:tcPr>
            <w:tcW w:w="3686" w:type="dxa"/>
          </w:tcPr>
          <w:p w14:paraId="305D5919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Незадовільна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адаптація</w:t>
            </w:r>
            <w:proofErr w:type="spellEnd"/>
          </w:p>
        </w:tc>
        <w:tc>
          <w:tcPr>
            <w:tcW w:w="1134" w:type="dxa"/>
          </w:tcPr>
          <w:p w14:paraId="082FDB0B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829" w:type="dxa"/>
          </w:tcPr>
          <w:p w14:paraId="2EF2E8FF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Профілактичні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лікарські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  <w:tr w:rsidR="00B53A0D" w14:paraId="2EDC4D26" w14:textId="77777777" w:rsidTr="004A7EFE">
        <w:tc>
          <w:tcPr>
            <w:tcW w:w="1696" w:type="dxa"/>
          </w:tcPr>
          <w:p w14:paraId="5B624E1C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3.50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вище</w:t>
            </w:r>
            <w:proofErr w:type="spellEnd"/>
          </w:p>
        </w:tc>
        <w:tc>
          <w:tcPr>
            <w:tcW w:w="3686" w:type="dxa"/>
          </w:tcPr>
          <w:p w14:paraId="655B7F61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Зрив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</w:p>
        </w:tc>
        <w:tc>
          <w:tcPr>
            <w:tcW w:w="1134" w:type="dxa"/>
          </w:tcPr>
          <w:p w14:paraId="0232AC12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829" w:type="dxa"/>
          </w:tcPr>
          <w:p w14:paraId="6CFFDD5E" w14:textId="77777777" w:rsidR="00B53A0D" w:rsidRPr="008C69E4" w:rsidRDefault="00B53A0D" w:rsidP="004A7E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Лікарські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</w:tbl>
    <w:p w14:paraId="4150BD11" w14:textId="3F0A1EB3" w:rsidR="00925B94" w:rsidRPr="00B53A0D" w:rsidRDefault="00925B94" w:rsidP="00B53A0D">
      <w:pPr>
        <w:pStyle w:val="a4"/>
        <w:spacing w:line="360" w:lineRule="auto"/>
        <w:ind w:left="1069"/>
        <w:rPr>
          <w:rFonts w:ascii="Times New Roman" w:hAnsi="Times New Roman" w:cs="Times New Roman"/>
          <w:sz w:val="28"/>
          <w:szCs w:val="28"/>
          <w:lang w:val="ru-RU"/>
        </w:rPr>
      </w:pPr>
      <w:r w:rsidRPr="00B53A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207AC" w14:textId="653127DB" w:rsidR="00925B94" w:rsidRPr="005E24CD" w:rsidRDefault="00925B94" w:rsidP="00925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 w:rsid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5E24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9D2ACD" w14:textId="0C748946" w:rsidR="00925B94" w:rsidRPr="00B53A0D" w:rsidRDefault="00925B94" w:rsidP="00925B9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3A0D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B53A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0D" w:rsidRP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>функціональних</w:t>
      </w:r>
      <w:proofErr w:type="spellEnd"/>
      <w:r w:rsidR="00B53A0D" w:rsidRP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53A0D" w:rsidRP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можливостей</w:t>
      </w:r>
      <w:proofErr w:type="spellEnd"/>
      <w:r w:rsidR="00B53A0D" w:rsidRP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ССС </w:t>
      </w:r>
      <w:r w:rsidRPr="00B53A0D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B53A0D">
        <w:rPr>
          <w:rFonts w:ascii="Times New Roman" w:hAnsi="Times New Roman" w:cs="Times New Roman"/>
          <w:b/>
          <w:bCs/>
          <w:sz w:val="28"/>
          <w:szCs w:val="28"/>
        </w:rPr>
        <w:t>функціональними</w:t>
      </w:r>
      <w:proofErr w:type="spellEnd"/>
      <w:r w:rsidRPr="00B53A0D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B53A0D" w:rsidRP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робами</w:t>
      </w:r>
      <w:r w:rsidR="00B53A0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B53A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A81BA8" w14:textId="3FB3B458" w:rsidR="00B53A0D" w:rsidRDefault="00925B94" w:rsidP="005705F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Методичні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5FE"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ункціональні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затримкою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="00B53A0D"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скорочується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50%</w:t>
      </w:r>
      <w:r w:rsidR="00B53A0D"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Спроможність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тривалої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та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дихальних</w:t>
      </w:r>
      <w:proofErr w:type="spellEnd"/>
      <w:r w:rsid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апнотичних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погіршуються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 w:rsidR="00B53A0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Проба Штанге також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="00B53A0D"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стійкість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недостачі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="00B53A0D"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генотипу та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вольових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="00B53A0D"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знижувати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практичну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цінність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апнотичних</w:t>
      </w:r>
      <w:proofErr w:type="spellEnd"/>
      <w:r w:rsidR="00B53A0D"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1B68354B" w14:textId="2B40A9ED" w:rsidR="005705FE" w:rsidRPr="00B07F83" w:rsidRDefault="005705FE" w:rsidP="005705F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змінами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оцінювати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ВНС ‒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ортостатична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проба)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проба) ланок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автономної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орто-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кліностатичної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проб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вказує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сенситивність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чутливість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реактивність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симпатичного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парасимпатичного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відділів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ВНС.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тонусу ВНС за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реактивними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змінами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парасимпатичної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844F11">
        <w:rPr>
          <w:rFonts w:ascii="Times New Roman" w:eastAsia="Yu Gothic" w:hAnsi="Times New Roman" w:cs="Times New Roman"/>
          <w:color w:val="000000"/>
          <w:sz w:val="28"/>
          <w:szCs w:val="28"/>
        </w:rPr>
        <w:t>рунтуєть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</w:t>
      </w:r>
      <w:r w:rsidRPr="00042055">
        <w:rPr>
          <w:rFonts w:ascii="Times New Roman" w:eastAsia="TimesNewRoman" w:hAnsi="Times New Roman" w:cs="Times New Roman"/>
          <w:color w:val="000000"/>
          <w:sz w:val="28"/>
          <w:szCs w:val="28"/>
        </w:rPr>
        <w:t>є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страції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через </w:t>
      </w:r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кліностотичної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 того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іншого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пульсу 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проба)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проба) з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позначенням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виразності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A46FF8" w14:textId="77777777" w:rsidR="005705FE" w:rsidRPr="002F632A" w:rsidRDefault="005705FE" w:rsidP="00B53A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51FD7B29" w14:textId="750B8053" w:rsidR="005705FE" w:rsidRPr="005705FE" w:rsidRDefault="005705FE" w:rsidP="005705F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Проба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із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затримкою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під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час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вдиху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(проба Штанге)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вихідному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5-7</w:t>
      </w:r>
      <w:proofErr w:type="gram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глибокий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(але не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максимальний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вдих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затримати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якомога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довше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стискуючи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ніс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перерви 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відлічують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секундоміром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момент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зупиняють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нетренованих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дорослих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середньому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40-60</w:t>
      </w:r>
      <w:proofErr w:type="gram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секунд,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30-40 секунд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спортсменів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діапазоні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60-120</w:t>
      </w:r>
      <w:proofErr w:type="gram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40-95 секунд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46AB7C7" w14:textId="3FED6F57" w:rsidR="005705FE" w:rsidRDefault="005705FE" w:rsidP="005705F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Проба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із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затримкою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під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час </w:t>
      </w: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видиху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(проба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Генч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перерви 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відзначається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секундоміром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зупиняють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момент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здорових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нетренованих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затримка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коливається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межах </w:t>
      </w:r>
      <w:proofErr w:type="gram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25-40</w:t>
      </w:r>
      <w:proofErr w:type="gram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15-30 секунд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–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спортсменів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вищі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gram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50-60</w:t>
      </w:r>
      <w:proofErr w:type="gram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30-50 секунд у </w:t>
      </w:r>
      <w:proofErr w:type="spellStart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5705F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3EA07E11" w14:textId="77777777" w:rsidR="005705FE" w:rsidRPr="005705FE" w:rsidRDefault="005705FE" w:rsidP="005705F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Ортостатична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проба</w:t>
      </w:r>
      <w:r w:rsidRPr="005705F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рахують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за 10 сек. і результат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помножують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6;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самим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</w:t>
      </w:r>
      <w:proofErr w:type="gram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2-3</w:t>
      </w:r>
      <w:proofErr w:type="gram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сек.)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встає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переходу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вертикальне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через 1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стояння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знов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пульсом частоту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E111DA1" w14:textId="77777777" w:rsidR="005705FE" w:rsidRPr="005705FE" w:rsidRDefault="005705FE" w:rsidP="005705F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Кліностатичну</w:t>
      </w:r>
      <w:proofErr w:type="spellEnd"/>
      <w:r w:rsidRPr="005705F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пробу</w:t>
      </w:r>
      <w:r w:rsidRPr="005705F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зворотному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порядку: ЧСС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спокійного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стояння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повільного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переходу 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і,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нарешті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горизонтальному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Пульс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рахують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10-секундні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помножуючи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на 6,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виміряють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F7D6C02" w14:textId="77777777" w:rsidR="00BD74E0" w:rsidRDefault="005705FE" w:rsidP="00BD74E0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</w:p>
    <w:p w14:paraId="6A7B10E5" w14:textId="0E441363" w:rsidR="00BD74E0" w:rsidRDefault="005705FE" w:rsidP="00BD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="00BD74E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</w:p>
    <w:p w14:paraId="71B998A6" w14:textId="346A3B8B" w:rsidR="005705FE" w:rsidRPr="00BD74E0" w:rsidRDefault="005705FE" w:rsidP="00BD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абсолютними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значеннями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05FE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ортостатичної</w:t>
      </w:r>
      <w:proofErr w:type="spellEnd"/>
      <w:r w:rsidR="00BD74E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кліностатичної</w:t>
      </w:r>
      <w:proofErr w:type="spellEnd"/>
      <w:r w:rsidRPr="00BD74E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353"/>
        <w:gridCol w:w="1762"/>
        <w:gridCol w:w="3115"/>
      </w:tblGrid>
      <w:tr w:rsidR="005705FE" w:rsidRPr="00022DAD" w14:paraId="35BD8FFB" w14:textId="77777777" w:rsidTr="004A7EFE">
        <w:tc>
          <w:tcPr>
            <w:tcW w:w="4468" w:type="dxa"/>
            <w:gridSpan w:val="2"/>
          </w:tcPr>
          <w:p w14:paraId="78220E2A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Ортостатична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проба,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прискорення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пульсу, </w:t>
            </w:r>
            <w:proofErr w:type="gramStart"/>
            <w:r w:rsidRPr="00367951">
              <w:rPr>
                <w:rFonts w:ascii="Times New Roman" w:hAnsi="Times New Roman" w:cs="Times New Roman"/>
                <w:lang w:val="ru-RU"/>
              </w:rPr>
              <w:t>уд./</w:t>
            </w:r>
            <w:proofErr w:type="spellStart"/>
            <w:proofErr w:type="gramEnd"/>
            <w:r w:rsidRPr="00367951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877" w:type="dxa"/>
            <w:gridSpan w:val="2"/>
          </w:tcPr>
          <w:p w14:paraId="4D8656D2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Кліностатична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проба,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уповільнення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пульсу, </w:t>
            </w:r>
            <w:proofErr w:type="gramStart"/>
            <w:r w:rsidRPr="00367951">
              <w:rPr>
                <w:rFonts w:ascii="Times New Roman" w:hAnsi="Times New Roman" w:cs="Times New Roman"/>
                <w:lang w:val="ru-RU"/>
              </w:rPr>
              <w:t>уд./</w:t>
            </w:r>
            <w:proofErr w:type="spellStart"/>
            <w:proofErr w:type="gramEnd"/>
            <w:r w:rsidRPr="00367951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705FE" w:rsidRPr="00022DAD" w14:paraId="647291E6" w14:textId="77777777" w:rsidTr="004A7EFE">
        <w:tc>
          <w:tcPr>
            <w:tcW w:w="3115" w:type="dxa"/>
          </w:tcPr>
          <w:p w14:paraId="444953EB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0-6</w:t>
            </w:r>
          </w:p>
        </w:tc>
        <w:tc>
          <w:tcPr>
            <w:tcW w:w="3115" w:type="dxa"/>
            <w:gridSpan w:val="2"/>
          </w:tcPr>
          <w:p w14:paraId="4C254001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 xml:space="preserve">Нормальна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слабка</w:t>
            </w:r>
            <w:proofErr w:type="spellEnd"/>
          </w:p>
        </w:tc>
        <w:tc>
          <w:tcPr>
            <w:tcW w:w="3115" w:type="dxa"/>
          </w:tcPr>
          <w:p w14:paraId="4C1533D7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0-4</w:t>
            </w:r>
          </w:p>
        </w:tc>
      </w:tr>
      <w:tr w:rsidR="005705FE" w:rsidRPr="00022DAD" w14:paraId="159D7596" w14:textId="77777777" w:rsidTr="004A7EFE">
        <w:tc>
          <w:tcPr>
            <w:tcW w:w="3115" w:type="dxa"/>
          </w:tcPr>
          <w:p w14:paraId="1A5419BF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7-12</w:t>
            </w:r>
          </w:p>
        </w:tc>
        <w:tc>
          <w:tcPr>
            <w:tcW w:w="3115" w:type="dxa"/>
            <w:gridSpan w:val="2"/>
          </w:tcPr>
          <w:p w14:paraId="276C6B29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 xml:space="preserve">Нормальна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середня</w:t>
            </w:r>
            <w:proofErr w:type="spellEnd"/>
          </w:p>
        </w:tc>
        <w:tc>
          <w:tcPr>
            <w:tcW w:w="3115" w:type="dxa"/>
          </w:tcPr>
          <w:p w14:paraId="0557D545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5-8</w:t>
            </w:r>
          </w:p>
        </w:tc>
      </w:tr>
      <w:tr w:rsidR="005705FE" w:rsidRPr="00022DAD" w14:paraId="532EC39F" w14:textId="77777777" w:rsidTr="004A7EFE">
        <w:tc>
          <w:tcPr>
            <w:tcW w:w="3115" w:type="dxa"/>
          </w:tcPr>
          <w:p w14:paraId="54B4B3D6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13-18</w:t>
            </w:r>
          </w:p>
        </w:tc>
        <w:tc>
          <w:tcPr>
            <w:tcW w:w="3115" w:type="dxa"/>
            <w:gridSpan w:val="2"/>
          </w:tcPr>
          <w:p w14:paraId="3364095C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Нормальна жива</w:t>
            </w:r>
          </w:p>
        </w:tc>
        <w:tc>
          <w:tcPr>
            <w:tcW w:w="3115" w:type="dxa"/>
          </w:tcPr>
          <w:p w14:paraId="1FC7E87D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9-12</w:t>
            </w:r>
          </w:p>
        </w:tc>
      </w:tr>
      <w:tr w:rsidR="005705FE" w:rsidRPr="00022DAD" w14:paraId="51BBF7C0" w14:textId="77777777" w:rsidTr="004A7EFE">
        <w:tc>
          <w:tcPr>
            <w:tcW w:w="3115" w:type="dxa"/>
          </w:tcPr>
          <w:p w14:paraId="44139E27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19-24</w:t>
            </w:r>
          </w:p>
        </w:tc>
        <w:tc>
          <w:tcPr>
            <w:tcW w:w="3115" w:type="dxa"/>
            <w:gridSpan w:val="2"/>
          </w:tcPr>
          <w:p w14:paraId="3FA70D84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Підвищена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слабка</w:t>
            </w:r>
            <w:proofErr w:type="spellEnd"/>
          </w:p>
        </w:tc>
        <w:tc>
          <w:tcPr>
            <w:tcW w:w="3115" w:type="dxa"/>
          </w:tcPr>
          <w:p w14:paraId="06BE6882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13-16</w:t>
            </w:r>
          </w:p>
        </w:tc>
      </w:tr>
      <w:tr w:rsidR="005705FE" w:rsidRPr="00022DAD" w14:paraId="6856EAD1" w14:textId="77777777" w:rsidTr="004A7EFE">
        <w:tc>
          <w:tcPr>
            <w:tcW w:w="3115" w:type="dxa"/>
          </w:tcPr>
          <w:p w14:paraId="331C6741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31-35</w:t>
            </w:r>
          </w:p>
        </w:tc>
        <w:tc>
          <w:tcPr>
            <w:tcW w:w="3115" w:type="dxa"/>
            <w:gridSpan w:val="2"/>
          </w:tcPr>
          <w:p w14:paraId="63B1EEAB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Підвищена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значно</w:t>
            </w:r>
            <w:proofErr w:type="spellEnd"/>
          </w:p>
        </w:tc>
        <w:tc>
          <w:tcPr>
            <w:tcW w:w="3115" w:type="dxa"/>
          </w:tcPr>
          <w:p w14:paraId="3C1E0FF4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21-24</w:t>
            </w:r>
          </w:p>
        </w:tc>
      </w:tr>
      <w:tr w:rsidR="005705FE" w:rsidRPr="00022DAD" w14:paraId="53115CCC" w14:textId="77777777" w:rsidTr="004A7EFE">
        <w:tc>
          <w:tcPr>
            <w:tcW w:w="3115" w:type="dxa"/>
          </w:tcPr>
          <w:p w14:paraId="697B3255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37-42</w:t>
            </w:r>
          </w:p>
        </w:tc>
        <w:tc>
          <w:tcPr>
            <w:tcW w:w="3115" w:type="dxa"/>
            <w:gridSpan w:val="2"/>
          </w:tcPr>
          <w:p w14:paraId="3646E1FD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Підвищена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різко</w:t>
            </w:r>
            <w:proofErr w:type="spellEnd"/>
          </w:p>
        </w:tc>
        <w:tc>
          <w:tcPr>
            <w:tcW w:w="3115" w:type="dxa"/>
          </w:tcPr>
          <w:p w14:paraId="58586B18" w14:textId="77777777" w:rsidR="005705FE" w:rsidRPr="00367951" w:rsidRDefault="005705FE" w:rsidP="004A7E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25-28</w:t>
            </w:r>
          </w:p>
        </w:tc>
      </w:tr>
    </w:tbl>
    <w:p w14:paraId="5C21D939" w14:textId="77777777" w:rsidR="005705FE" w:rsidRPr="005705FE" w:rsidRDefault="005705FE" w:rsidP="005705FE">
      <w:pPr>
        <w:pStyle w:val="a4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A5317C" w14:textId="77777777" w:rsidR="00B53A0D" w:rsidRPr="00B53A0D" w:rsidRDefault="00B53A0D" w:rsidP="00286264">
      <w:pPr>
        <w:spacing w:after="0" w:line="276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171A69D7" w14:textId="57FF482F" w:rsidR="00925B94" w:rsidRPr="00D205AC" w:rsidRDefault="00925B94" w:rsidP="00925B9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8626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функціональнх</w:t>
      </w:r>
      <w:proofErr w:type="spellEnd"/>
      <w:r w:rsidR="0028626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проб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занести до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зведеної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B5B1620" w14:textId="51C763BC" w:rsidR="00925B94" w:rsidRPr="0091679E" w:rsidRDefault="00925B94" w:rsidP="00925B94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CAC3C" w14:textId="41173764" w:rsidR="00925B94" w:rsidRPr="00D205AC" w:rsidRDefault="00925B94" w:rsidP="00925B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Протокол.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Показникт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8626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функціональних</w:t>
      </w:r>
      <w:proofErr w:type="spellEnd"/>
      <w:r w:rsidR="0028626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проб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04182EC6" w14:textId="77777777" w:rsidR="00925B94" w:rsidRPr="0091679E" w:rsidRDefault="00925B94" w:rsidP="00925B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 Стать 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1"/>
        <w:gridCol w:w="2994"/>
      </w:tblGrid>
      <w:tr w:rsidR="001948D6" w14:paraId="28F70CA6" w14:textId="3370A329" w:rsidTr="001948D6">
        <w:tc>
          <w:tcPr>
            <w:tcW w:w="6351" w:type="dxa"/>
          </w:tcPr>
          <w:p w14:paraId="2EC72584" w14:textId="27E0E770" w:rsidR="001948D6" w:rsidRPr="001948D6" w:rsidRDefault="001948D6" w:rsidP="00286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ЧСС та АТ</w:t>
            </w:r>
          </w:p>
        </w:tc>
        <w:tc>
          <w:tcPr>
            <w:tcW w:w="2994" w:type="dxa"/>
          </w:tcPr>
          <w:p w14:paraId="0330318B" w14:textId="77777777" w:rsidR="001948D6" w:rsidRPr="001948D6" w:rsidRDefault="001948D6" w:rsidP="0019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1C8E80F1" w14:textId="77777777" w:rsidTr="001948D6">
        <w:tc>
          <w:tcPr>
            <w:tcW w:w="6351" w:type="dxa"/>
          </w:tcPr>
          <w:p w14:paraId="28AD1206" w14:textId="51E979D4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48D6">
              <w:rPr>
                <w:rFonts w:ascii="Times New Roman" w:eastAsia="TimesNewRoman,Italic" w:hAnsi="Times New Roman" w:cs="Times New Roman"/>
                <w:sz w:val="28"/>
                <w:szCs w:val="28"/>
              </w:rPr>
              <w:t>Індекс</w:t>
            </w:r>
            <w:proofErr w:type="spellEnd"/>
            <w:r w:rsidRPr="001948D6">
              <w:rPr>
                <w:rFonts w:ascii="Times New Roman" w:eastAsia="TimesNewRoman,Ital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,Italic" w:hAnsi="Times New Roman" w:cs="Times New Roman"/>
                <w:sz w:val="28"/>
                <w:szCs w:val="28"/>
              </w:rPr>
              <w:t>Робінсона</w:t>
            </w:r>
            <w:proofErr w:type="spellEnd"/>
          </w:p>
        </w:tc>
        <w:tc>
          <w:tcPr>
            <w:tcW w:w="2994" w:type="dxa"/>
          </w:tcPr>
          <w:p w14:paraId="1299423B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060A4168" w14:textId="77777777" w:rsidTr="001948D6">
        <w:tc>
          <w:tcPr>
            <w:tcW w:w="6351" w:type="dxa"/>
          </w:tcPr>
          <w:p w14:paraId="21F5572C" w14:textId="39AC3CA2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ульсовий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артеріальний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тиск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(ПАТ),</w:t>
            </w:r>
          </w:p>
        </w:tc>
        <w:tc>
          <w:tcPr>
            <w:tcW w:w="2994" w:type="dxa"/>
          </w:tcPr>
          <w:p w14:paraId="5C1E009C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7F7C8ACF" w14:textId="77777777" w:rsidTr="001948D6">
        <w:tc>
          <w:tcPr>
            <w:tcW w:w="6351" w:type="dxa"/>
          </w:tcPr>
          <w:p w14:paraId="527BF95D" w14:textId="09832CC9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ередн</w:t>
            </w: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ій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артеріальн</w:t>
            </w: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тиск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(САТ)</w:t>
            </w:r>
          </w:p>
        </w:tc>
        <w:tc>
          <w:tcPr>
            <w:tcW w:w="2994" w:type="dxa"/>
          </w:tcPr>
          <w:p w14:paraId="791A42AB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17E41D1F" w14:textId="77777777" w:rsidTr="001948D6">
        <w:tc>
          <w:tcPr>
            <w:tcW w:w="6351" w:type="dxa"/>
          </w:tcPr>
          <w:p w14:paraId="67E62E98" w14:textId="7C3BA83C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дарний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об’єм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(УО)</w:t>
            </w:r>
          </w:p>
        </w:tc>
        <w:tc>
          <w:tcPr>
            <w:tcW w:w="2994" w:type="dxa"/>
          </w:tcPr>
          <w:p w14:paraId="04965FC1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64" w14:paraId="45895CEB" w14:textId="77777777" w:rsidTr="001948D6">
        <w:tc>
          <w:tcPr>
            <w:tcW w:w="6351" w:type="dxa"/>
          </w:tcPr>
          <w:p w14:paraId="17895855" w14:textId="41BE6C6D" w:rsidR="00286264" w:rsidRPr="001948D6" w:rsidRDefault="00286264" w:rsidP="004A7EFE">
            <w:pPr>
              <w:spacing w:line="276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Показник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периферичного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опору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судин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(ПОС)</w:t>
            </w:r>
          </w:p>
        </w:tc>
        <w:tc>
          <w:tcPr>
            <w:tcW w:w="2994" w:type="dxa"/>
          </w:tcPr>
          <w:p w14:paraId="0B0E7ACA" w14:textId="77777777" w:rsidR="0028626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94" w14:paraId="2E5A01C0" w14:textId="77777777" w:rsidTr="001948D6">
        <w:tc>
          <w:tcPr>
            <w:tcW w:w="6351" w:type="dxa"/>
          </w:tcPr>
          <w:p w14:paraId="253DF5F8" w14:textId="16FBE867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вилинний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об'єм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крові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(ХОК)</w:t>
            </w:r>
          </w:p>
        </w:tc>
        <w:tc>
          <w:tcPr>
            <w:tcW w:w="2994" w:type="dxa"/>
          </w:tcPr>
          <w:p w14:paraId="5511FE6A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10BD4DB8" w14:textId="77777777" w:rsidTr="001948D6">
        <w:tc>
          <w:tcPr>
            <w:tcW w:w="6351" w:type="dxa"/>
          </w:tcPr>
          <w:p w14:paraId="4E01E30A" w14:textId="3D0A266A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Коефіцієнт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ефективності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кровообігу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(КЕК)</w:t>
            </w:r>
          </w:p>
        </w:tc>
        <w:tc>
          <w:tcPr>
            <w:tcW w:w="2994" w:type="dxa"/>
          </w:tcPr>
          <w:p w14:paraId="396FCAA1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201C91B4" w14:textId="77777777" w:rsidTr="001948D6">
        <w:tc>
          <w:tcPr>
            <w:tcW w:w="6351" w:type="dxa"/>
          </w:tcPr>
          <w:p w14:paraId="495B4D68" w14:textId="69DCECF2" w:rsidR="00925B94" w:rsidRPr="001948D6" w:rsidRDefault="0028626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егетативн</w:t>
            </w:r>
            <w:r w:rsid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індекс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Кердо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(ВІК)</w:t>
            </w:r>
          </w:p>
        </w:tc>
        <w:tc>
          <w:tcPr>
            <w:tcW w:w="2994" w:type="dxa"/>
          </w:tcPr>
          <w:p w14:paraId="4EB56626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5BAB2803" w14:textId="77777777" w:rsidTr="004A7EFE">
        <w:tc>
          <w:tcPr>
            <w:tcW w:w="9345" w:type="dxa"/>
            <w:gridSpan w:val="2"/>
          </w:tcPr>
          <w:p w14:paraId="030E6E53" w14:textId="763CCF20" w:rsidR="00925B94" w:rsidRPr="001948D6" w:rsidRDefault="00286264" w:rsidP="00286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даптаційн</w:t>
            </w: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потенціал</w:t>
            </w:r>
            <w:proofErr w:type="spellEnd"/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(АП)</w:t>
            </w:r>
          </w:p>
        </w:tc>
      </w:tr>
      <w:tr w:rsidR="00925B94" w14:paraId="74EC22F8" w14:textId="77777777" w:rsidTr="001948D6">
        <w:tc>
          <w:tcPr>
            <w:tcW w:w="6351" w:type="dxa"/>
          </w:tcPr>
          <w:p w14:paraId="502AEE55" w14:textId="13F7C7AB" w:rsidR="00925B94" w:rsidRPr="001948D6" w:rsidRDefault="001948D6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1948D6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роба Штанге</w:t>
            </w:r>
          </w:p>
        </w:tc>
        <w:tc>
          <w:tcPr>
            <w:tcW w:w="2994" w:type="dxa"/>
          </w:tcPr>
          <w:p w14:paraId="1A060B4C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B94" w14:paraId="03787CA7" w14:textId="77777777" w:rsidTr="001948D6">
        <w:tc>
          <w:tcPr>
            <w:tcW w:w="6351" w:type="dxa"/>
          </w:tcPr>
          <w:p w14:paraId="2206856C" w14:textId="747E7DE4" w:rsidR="00925B94" w:rsidRPr="001948D6" w:rsidRDefault="001948D6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Проба </w:t>
            </w:r>
            <w:proofErr w:type="spellStart"/>
            <w:r w:rsidRPr="00194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Генче</w:t>
            </w:r>
            <w:proofErr w:type="spellEnd"/>
          </w:p>
        </w:tc>
        <w:tc>
          <w:tcPr>
            <w:tcW w:w="2994" w:type="dxa"/>
          </w:tcPr>
          <w:p w14:paraId="6F39477D" w14:textId="77777777" w:rsidR="00925B94" w:rsidRPr="001948D6" w:rsidRDefault="00925B94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8D6" w14:paraId="3BF8D953" w14:textId="77777777" w:rsidTr="001948D6">
        <w:tc>
          <w:tcPr>
            <w:tcW w:w="6351" w:type="dxa"/>
          </w:tcPr>
          <w:p w14:paraId="0A7AF7CE" w14:textId="46D3F415" w:rsidR="001948D6" w:rsidRPr="001948D6" w:rsidRDefault="001948D6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48D6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>Ортостатична</w:t>
            </w:r>
            <w:proofErr w:type="spellEnd"/>
            <w:r w:rsidRPr="001948D6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2994" w:type="dxa"/>
          </w:tcPr>
          <w:p w14:paraId="2A814320" w14:textId="77777777" w:rsidR="001948D6" w:rsidRPr="001948D6" w:rsidRDefault="001948D6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8D6" w14:paraId="68CE800D" w14:textId="77777777" w:rsidTr="001948D6">
        <w:tc>
          <w:tcPr>
            <w:tcW w:w="6351" w:type="dxa"/>
          </w:tcPr>
          <w:p w14:paraId="268D32D4" w14:textId="1A89C2A3" w:rsidR="001948D6" w:rsidRPr="001948D6" w:rsidRDefault="001948D6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48D6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>Кліностатичн</w:t>
            </w:r>
            <w:proofErr w:type="spellEnd"/>
            <w:r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948D6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 xml:space="preserve"> проб</w:t>
            </w:r>
            <w:r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2994" w:type="dxa"/>
          </w:tcPr>
          <w:p w14:paraId="11E3BCCB" w14:textId="77777777" w:rsidR="001948D6" w:rsidRPr="001948D6" w:rsidRDefault="001948D6" w:rsidP="004A7E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052B80F" w14:textId="77777777" w:rsidR="00925B94" w:rsidRPr="004F0CD3" w:rsidRDefault="00925B94" w:rsidP="00925B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8ED374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9B9"/>
    <w:multiLevelType w:val="hybridMultilevel"/>
    <w:tmpl w:val="CE9A93BE"/>
    <w:lvl w:ilvl="0" w:tplc="19E4A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82A1B"/>
    <w:multiLevelType w:val="hybridMultilevel"/>
    <w:tmpl w:val="DF28BE56"/>
    <w:lvl w:ilvl="0" w:tplc="7122C2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307F77"/>
    <w:multiLevelType w:val="hybridMultilevel"/>
    <w:tmpl w:val="2F986456"/>
    <w:lvl w:ilvl="0" w:tplc="B42CB1E0">
      <w:start w:val="1"/>
      <w:numFmt w:val="decimal"/>
      <w:lvlText w:val="%1."/>
      <w:lvlJc w:val="left"/>
      <w:pPr>
        <w:ind w:left="1069" w:hanging="360"/>
      </w:pPr>
      <w:rPr>
        <w:rFonts w:eastAsia="TimesNewRoman,Italic"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5A1F01"/>
    <w:multiLevelType w:val="hybridMultilevel"/>
    <w:tmpl w:val="967A5A68"/>
    <w:lvl w:ilvl="0" w:tplc="541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101B67"/>
    <w:multiLevelType w:val="hybridMultilevel"/>
    <w:tmpl w:val="CBBEEDE6"/>
    <w:lvl w:ilvl="0" w:tplc="1A58F90C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80748">
    <w:abstractNumId w:val="0"/>
  </w:num>
  <w:num w:numId="2" w16cid:durableId="65349130">
    <w:abstractNumId w:val="4"/>
  </w:num>
  <w:num w:numId="3" w16cid:durableId="316421431">
    <w:abstractNumId w:val="1"/>
  </w:num>
  <w:num w:numId="4" w16cid:durableId="352847599">
    <w:abstractNumId w:val="3"/>
  </w:num>
  <w:num w:numId="5" w16cid:durableId="212757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94"/>
    <w:rsid w:val="001813A3"/>
    <w:rsid w:val="001948D6"/>
    <w:rsid w:val="00286264"/>
    <w:rsid w:val="004746D3"/>
    <w:rsid w:val="0056168F"/>
    <w:rsid w:val="005705FE"/>
    <w:rsid w:val="005E0BB6"/>
    <w:rsid w:val="00621899"/>
    <w:rsid w:val="006819A1"/>
    <w:rsid w:val="00925B94"/>
    <w:rsid w:val="00A74487"/>
    <w:rsid w:val="00AF5A74"/>
    <w:rsid w:val="00B53A0D"/>
    <w:rsid w:val="00BD74E0"/>
    <w:rsid w:val="00C00ED0"/>
    <w:rsid w:val="00C50049"/>
    <w:rsid w:val="00E14921"/>
    <w:rsid w:val="00EA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DE20"/>
  <w15:chartTrackingRefBased/>
  <w15:docId w15:val="{51716848-2A16-45D7-BF14-922227EC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2023-10-09T14:48:00Z</dcterms:created>
  <dcterms:modified xsi:type="dcterms:W3CDTF">2023-10-10T16:36:00Z</dcterms:modified>
</cp:coreProperties>
</file>