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4AFD" w14:textId="27EB06A0" w:rsid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</w:pPr>
      <w:proofErr w:type="spellStart"/>
      <w:r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>Лекція</w:t>
      </w:r>
      <w:proofErr w:type="spellEnd"/>
      <w:r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 xml:space="preserve"> 9.</w:t>
      </w:r>
    </w:p>
    <w:p w14:paraId="70FA1089" w14:textId="2B74CB9F" w:rsidR="00005092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</w:pPr>
      <w:r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 xml:space="preserve">Тема: </w:t>
      </w:r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>МЕДИКО-ПЕДАГОГІЧНИЙ КОНТРОЛЬ ЗАНЯТЬ З ФІЗИЧНОГО</w:t>
      </w:r>
      <w:r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 xml:space="preserve"> </w:t>
      </w:r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>ВИХОВАННЯ І СПОРТУ ДЛЯ ОСІБ РІЗНИХ КАТЕГОРІЙ</w:t>
      </w:r>
      <w:r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>.</w:t>
      </w:r>
    </w:p>
    <w:p w14:paraId="30538D44" w14:textId="379B3066" w:rsid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</w:pPr>
      <w:r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>План.</w:t>
      </w:r>
    </w:p>
    <w:p w14:paraId="5C159D93" w14:textId="77777777" w:rsidR="00005092" w:rsidRPr="00005092" w:rsidRDefault="00005092" w:rsidP="0000509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,Italic" w:hAnsi="Times New Roman" w:cs="Times New Roman"/>
          <w:color w:val="202020"/>
          <w:sz w:val="28"/>
          <w:szCs w:val="28"/>
        </w:rPr>
      </w:pPr>
      <w:proofErr w:type="spellStart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>Особливості</w:t>
      </w:r>
      <w:proofErr w:type="spellEnd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медико-</w:t>
      </w:r>
      <w:proofErr w:type="spellStart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педагогічного</w:t>
      </w:r>
      <w:proofErr w:type="spellEnd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контролю</w:t>
      </w:r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у </w:t>
      </w:r>
      <w:proofErr w:type="spellStart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дитячому</w:t>
      </w:r>
      <w:proofErr w:type="spellEnd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віці</w:t>
      </w:r>
      <w:proofErr w:type="spellEnd"/>
      <w:r w:rsidRPr="00005092"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>.</w:t>
      </w:r>
    </w:p>
    <w:p w14:paraId="462854A8" w14:textId="763AEB5F" w:rsidR="00005092" w:rsidRPr="00005092" w:rsidRDefault="00005092" w:rsidP="0000509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Медико-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занять з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старших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групах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2826A843" w14:textId="24085A99" w:rsidR="00005092" w:rsidRPr="00005092" w:rsidRDefault="00005092" w:rsidP="0000509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Морфофункціональні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</w:t>
      </w:r>
      <w:r w:rsidRPr="000050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00509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08F7F5B" w14:textId="790CD080" w:rsidR="00005092" w:rsidRPr="00005092" w:rsidRDefault="00005092" w:rsidP="0000509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</w:rPr>
        <w:t xml:space="preserve"> самоконтролю у </w:t>
      </w: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0050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D08427D" w14:textId="0F241EA0" w:rsid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</w:pPr>
    </w:p>
    <w:p w14:paraId="59C89F8E" w14:textId="42C702A6" w:rsidR="00465E14" w:rsidRPr="000617B6" w:rsidRDefault="00465E14" w:rsidP="00465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61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061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09DE9D3" w14:textId="77777777" w:rsidR="00465E14" w:rsidRPr="000617B6" w:rsidRDefault="00465E14" w:rsidP="00465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Абрамов В. В.,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Клапчук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Неханевич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 Б. [та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спортивна</w:t>
      </w:r>
      <w:proofErr w:type="gram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медицина: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вищих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навч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; за ред. В. В. Абрамова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О. Л.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Смирнової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Журфонд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2014.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456 с.</w:t>
      </w:r>
    </w:p>
    <w:p w14:paraId="451FF1F5" w14:textId="6A8E4A50" w:rsidR="00465E14" w:rsidRPr="000617B6" w:rsidRDefault="00465E14" w:rsidP="00465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2. Апанасенко Г. Л., Науменко Р. Г. Сомати</w:t>
      </w:r>
      <w:proofErr w:type="spellStart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чне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здоров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'я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максимальна а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е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робна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здатність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ндив</w:t>
      </w:r>
      <w:proofErr w:type="spellEnd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да //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Теор</w:t>
      </w:r>
      <w:proofErr w:type="spellEnd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я и практика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ф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зкультур</w:t>
      </w:r>
      <w:proofErr w:type="spellEnd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. 1988. №4. С.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29–31.</w:t>
      </w:r>
      <w:r w:rsidRPr="000617B6">
        <w:rPr>
          <w:rFonts w:ascii="Times New Roman" w:eastAsia="TimesNewRoman" w:hAnsi="Times New Roman" w:cs="Times New Roman"/>
          <w:color w:val="FFFFFF"/>
          <w:sz w:val="28"/>
          <w:szCs w:val="28"/>
        </w:rPr>
        <w:t>235</w:t>
      </w:r>
    </w:p>
    <w:p w14:paraId="75922795" w14:textId="77777777" w:rsidR="00465E14" w:rsidRPr="000617B6" w:rsidRDefault="00465E14" w:rsidP="00465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Романчук О. П.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Лікарсько-педагогічний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в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. Одеса, 2010.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205 с.</w:t>
      </w:r>
    </w:p>
    <w:p w14:paraId="030573CC" w14:textId="1999E1C6" w:rsidR="00465E14" w:rsidRPr="000617B6" w:rsidRDefault="00465E14" w:rsidP="00465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Соколовський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С., Романова Н. О., 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Бондарєв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І. І. </w:t>
      </w:r>
      <w:proofErr w:type="spellStart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Лікарський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контроль  ф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proofErr w:type="spellEnd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ом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proofErr w:type="spellStart"/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ихованні</w:t>
      </w:r>
      <w:proofErr w:type="spellEnd"/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</w:t>
      </w:r>
      <w:r w:rsidR="009E461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Одеса, 2001.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617B6">
        <w:rPr>
          <w:rFonts w:ascii="Times New Roman" w:eastAsia="TimesNewRoman" w:hAnsi="Times New Roman" w:cs="Times New Roman"/>
          <w:color w:val="000000"/>
          <w:sz w:val="28"/>
          <w:szCs w:val="28"/>
        </w:rPr>
        <w:t>93 с</w:t>
      </w:r>
      <w:r>
        <w:rPr>
          <w:rFonts w:ascii="TimesNewRoman" w:eastAsia="TimesNewRoman" w:hAnsi="TimesNewRoman,Bold" w:cs="TimesNewRoman"/>
          <w:color w:val="000000"/>
          <w:sz w:val="32"/>
          <w:szCs w:val="32"/>
        </w:rPr>
        <w:t>.</w:t>
      </w:r>
    </w:p>
    <w:p w14:paraId="77B79B2A" w14:textId="77777777" w:rsidR="00465E14" w:rsidRPr="00005092" w:rsidRDefault="00465E14" w:rsidP="00465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</w:pPr>
    </w:p>
    <w:p w14:paraId="44593967" w14:textId="77777777" w:rsidR="00005092" w:rsidRPr="008C1F3E" w:rsidRDefault="00005092" w:rsidP="00D73A02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</w:pPr>
      <w:proofErr w:type="spellStart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>Особливості</w:t>
      </w:r>
      <w:proofErr w:type="spellEnd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 xml:space="preserve"> медико-</w:t>
      </w:r>
      <w:proofErr w:type="spellStart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>педагогічного</w:t>
      </w:r>
      <w:proofErr w:type="spellEnd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 xml:space="preserve"> контролю</w:t>
      </w:r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 xml:space="preserve"> </w:t>
      </w:r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 xml:space="preserve">у </w:t>
      </w:r>
      <w:proofErr w:type="spellStart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>дитячому</w:t>
      </w:r>
      <w:proofErr w:type="spellEnd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</w:rPr>
        <w:t>віці</w:t>
      </w:r>
      <w:proofErr w:type="spellEnd"/>
      <w:r w:rsidRPr="008C1F3E">
        <w:rPr>
          <w:rFonts w:ascii="Times New Roman" w:eastAsia="TimesNewRoman,Italic" w:hAnsi="Times New Roman" w:cs="Times New Roman"/>
          <w:b/>
          <w:bCs/>
          <w:color w:val="202020"/>
          <w:sz w:val="28"/>
          <w:szCs w:val="28"/>
          <w:lang w:val="ru-RU"/>
        </w:rPr>
        <w:t>.</w:t>
      </w:r>
    </w:p>
    <w:p w14:paraId="2DFBF1F8" w14:textId="65704660" w:rsidR="00005092" w:rsidRPr="008C1F3E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color w:val="202020"/>
          <w:sz w:val="28"/>
          <w:szCs w:val="28"/>
        </w:rPr>
      </w:pP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Організація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дотримання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оптимальної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рухової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активності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є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надзвичайно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важливими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плані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забезпечення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нормативних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індивідуальних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тра</w:t>
      </w:r>
      <w:r w:rsidR="005A38CA" w:rsidRPr="005B6D08">
        <w:rPr>
          <w:rFonts w:ascii="Times New Roman" w:eastAsia="TimesNewRoman,Italic" w:hAnsi="Times New Roman" w:cs="Times New Roman"/>
          <w:color w:val="202020"/>
          <w:sz w:val="28"/>
          <w:szCs w:val="28"/>
        </w:rPr>
        <w:t>е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кторій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онтогенезу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дитини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гармонійного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формування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біологічних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систем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організму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дітей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окремі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періоду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психофізичного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розвитку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.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Саме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дитячому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підлітковому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віці</w:t>
      </w:r>
      <w:proofErr w:type="spellEnd"/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закладається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фундаментальне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підґ</w:t>
      </w:r>
      <w:r w:rsidRPr="008C1F3E">
        <w:rPr>
          <w:rFonts w:ascii="Times New Roman" w:eastAsia="Yu Gothic" w:hAnsi="Times New Roman" w:cs="Times New Roman"/>
          <w:color w:val="202020"/>
          <w:sz w:val="28"/>
          <w:szCs w:val="28"/>
        </w:rPr>
        <w:t>рунтя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для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здоров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’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дорослої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особи</w:t>
      </w:r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і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lastRenderedPageBreak/>
        <w:t>цілому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для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здоров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’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нації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(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етнічне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здоров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’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я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).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Тому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раціональний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вибір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різноманітних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засобів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методів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і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способів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фізичного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виховання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має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велике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значення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для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адекватної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адаптації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молодого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зростаючого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організму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до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фізичних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навантажень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</w:p>
    <w:p w14:paraId="357E90DC" w14:textId="77777777" w:rsidR="00005092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color w:val="202020"/>
          <w:sz w:val="28"/>
          <w:szCs w:val="28"/>
        </w:rPr>
      </w:pP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При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проведенні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медико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-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педгогічного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контролю за особами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дитячого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важливо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мати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на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увазі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закономірності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онтогенезу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: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</w:p>
    <w:p w14:paraId="538812A0" w14:textId="77777777" w:rsidR="00005092" w:rsidRPr="006F1A81" w:rsidRDefault="00005092" w:rsidP="0000509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динаміку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вікового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розвитку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дитини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особливості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функціонування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біологічних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систем в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окремі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періоди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; </w:t>
      </w:r>
    </w:p>
    <w:p w14:paraId="263F61A3" w14:textId="77777777" w:rsidR="00005092" w:rsidRPr="006F1A81" w:rsidRDefault="00005092" w:rsidP="0000509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якісні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зміни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стані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нейро</w:t>
      </w:r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>-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імуно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>-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ендокринної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регуляції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при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переході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з одного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етапу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онтогенетичного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розвитку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на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інший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; </w:t>
      </w:r>
    </w:p>
    <w:p w14:paraId="68917810" w14:textId="77777777" w:rsidR="00005092" w:rsidRPr="006F1A81" w:rsidRDefault="00005092" w:rsidP="0000509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динаміку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енергозабезпечення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м</w:t>
      </w:r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>’</w:t>
      </w:r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язової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діяльності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; </w:t>
      </w:r>
    </w:p>
    <w:p w14:paraId="2FB7F374" w14:textId="77777777" w:rsidR="00005092" w:rsidRPr="006F1A81" w:rsidRDefault="00005092" w:rsidP="0000509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,Italic" w:hAnsi="Times New Roman" w:cs="Times New Roman"/>
          <w:color w:val="202020"/>
          <w:sz w:val="28"/>
          <w:szCs w:val="28"/>
        </w:rPr>
      </w:pP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особливості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розвитку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сенсорних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систем та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основних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рухових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якостей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</w:p>
    <w:p w14:paraId="3F03635C" w14:textId="0B72642C" w:rsidR="00005092" w:rsidRPr="006F1A81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color w:val="202020"/>
          <w:sz w:val="28"/>
          <w:szCs w:val="28"/>
        </w:rPr>
      </w:pPr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Кожен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віковий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період</w:t>
      </w:r>
      <w:proofErr w:type="spellEnd"/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відрізняється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специфікою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розвитку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рухової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активності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дитини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</w:t>
      </w:r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психомоторними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актами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поведінки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.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Перехід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одного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періоду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до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іншого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характеризується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якісними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змінами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центральних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механізмів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регуляції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психомоторики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дитини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що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має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адаптивну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спрямованість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При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проведенні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занять з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фізичної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культури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з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дітьми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підлітками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,</w:t>
      </w:r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юнаками та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дівчатами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відповідно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до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груп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навчання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,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дошкільних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навчальних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закладах і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класах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школи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при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реалізації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завдань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медико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-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педагогічного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контролю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загальноприйнятим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є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поділ</w:t>
      </w:r>
      <w:proofErr w:type="spellEnd"/>
      <w:r w:rsidR="005B6D08" w:rsidRPr="005B6D08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на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такі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групи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: 1</w:t>
      </w:r>
      <w:r w:rsidR="00D73A02" w:rsidRPr="00D73A02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переддошкільну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(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1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до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3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років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); 2</w:t>
      </w:r>
      <w:r w:rsidR="00D73A02" w:rsidRPr="00D73A02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дошкільну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(3-6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років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); 3</w:t>
      </w:r>
      <w:r w:rsidR="00D73A02" w:rsidRPr="00D73A02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молодшу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шкільну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(7-11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років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); 4</w:t>
      </w:r>
      <w:r w:rsidR="00D73A02" w:rsidRPr="00D73A02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середню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шкільну</w:t>
      </w:r>
      <w:proofErr w:type="spellEnd"/>
      <w:r w:rsidRPr="006F1A81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(12-15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років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)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та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5</w:t>
      </w:r>
      <w:r w:rsidR="00D73A02" w:rsidRPr="00D73A02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старшу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шкільну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(16-18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років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).</w:t>
      </w:r>
    </w:p>
    <w:p w14:paraId="00079F6F" w14:textId="77777777" w:rsidR="00005092" w:rsidRPr="006F1A81" w:rsidRDefault="00005092" w:rsidP="0000509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,Italic" w:hAnsi="Times New Roman" w:cs="Times New Roman"/>
          <w:color w:val="202020"/>
          <w:sz w:val="28"/>
          <w:szCs w:val="28"/>
        </w:rPr>
      </w:pP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Для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оцінки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психосоматичного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стану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організму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спокої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 при</w:t>
      </w:r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фізичних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навантаженнях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важливо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знати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якою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буде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динаміка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функціональних</w:t>
      </w:r>
      <w:proofErr w:type="spellEnd"/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показників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основних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біологічних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систем з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урахуванням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дитини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</w:p>
    <w:p w14:paraId="3F7C2517" w14:textId="225BDC1B" w:rsidR="00005092" w:rsidRPr="008C1F3E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Відомо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що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значення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показників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ЧСС та АТ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дітей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суттєво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відрізняються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цих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кадіо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-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респіраторних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параметрів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дорослої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людини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що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зумовлено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менш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економною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діяльністю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системи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кровообігу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недосконалістю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механізмів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нейроімуноендокринної</w:t>
      </w:r>
      <w:proofErr w:type="spellEnd"/>
      <w:r w:rsidRPr="006F1A8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регуляції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.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Тому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показники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ЧСС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дітей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стані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спокою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значно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вищі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ніж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дорослих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рівень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артеріального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тиску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‒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нижчий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Рівень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lastRenderedPageBreak/>
        <w:t>артеріального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тиску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у </w:t>
      </w:r>
      <w:proofErr w:type="gramStart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4-6</w:t>
      </w:r>
      <w:proofErr w:type="gram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-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річних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дітей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дорівнює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75/50-85/60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мм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.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рт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ст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.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При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вимірюванні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АТ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дітей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і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підлітків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слід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звертати</w:t>
      </w:r>
      <w:proofErr w:type="spellEnd"/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увагу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на те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що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окружність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передпліччя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у них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значно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менша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ніж</w:t>
      </w:r>
      <w:proofErr w:type="spellEnd"/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дорослих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,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зв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’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язку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з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чим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необхідно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використовувати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тонометр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з манжетою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меншої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ширини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В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таблиці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="00D73A02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>1</w:t>
      </w:r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представлена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відповідно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до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віку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дитини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частота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серцевих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скорочень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спокої</w:t>
      </w:r>
      <w:proofErr w:type="spellEnd"/>
      <w:r w:rsidRPr="008C1F3E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</w:p>
    <w:p w14:paraId="18A7ACF0" w14:textId="50DA9104" w:rsidR="00005092" w:rsidRPr="00D73A02" w:rsidRDefault="00005092" w:rsidP="000050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</w:pP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Таблиця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r w:rsidR="00D73A02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>1</w:t>
      </w:r>
    </w:p>
    <w:p w14:paraId="73A24289" w14:textId="77777777" w:rsid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</w:pPr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Частота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серцевих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скорочень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спокої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у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дітей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різних</w:t>
      </w:r>
      <w:proofErr w:type="spellEnd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вікових</w:t>
      </w:r>
      <w:proofErr w:type="spellEnd"/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8C1F3E">
        <w:rPr>
          <w:rFonts w:ascii="Times New Roman" w:eastAsia="TimesNewRoman,Italic" w:hAnsi="Times New Roman" w:cs="Times New Roman"/>
          <w:color w:val="202020"/>
          <w:sz w:val="28"/>
          <w:szCs w:val="28"/>
        </w:rPr>
        <w:t>гру</w:t>
      </w:r>
      <w:proofErr w:type="spellEnd"/>
      <w:r>
        <w:rPr>
          <w:rFonts w:ascii="Times New Roman" w:eastAsia="TimesNewRoman,Italic" w:hAnsi="Times New Roman" w:cs="Times New Roman"/>
          <w:color w:val="202020"/>
          <w:sz w:val="28"/>
          <w:szCs w:val="28"/>
          <w:lang w:val="ru-RU"/>
        </w:rPr>
        <w:t>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7D0D" w:rsidRPr="00EF7B80" w14:paraId="67951817" w14:textId="77777777" w:rsidTr="00D86B06">
        <w:tc>
          <w:tcPr>
            <w:tcW w:w="3115" w:type="dxa"/>
            <w:vMerge w:val="restart"/>
          </w:tcPr>
          <w:p w14:paraId="32DF6952" w14:textId="77777777" w:rsidR="00667D0D" w:rsidRPr="00EF7B80" w:rsidRDefault="00667D0D" w:rsidP="00D86B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F7B80">
              <w:rPr>
                <w:rFonts w:ascii="Times New Roman" w:hAnsi="Times New Roman" w:cs="Times New Roman"/>
                <w:lang w:val="ru-RU"/>
              </w:rPr>
              <w:t>Вік</w:t>
            </w:r>
            <w:proofErr w:type="spellEnd"/>
            <w:r w:rsidRPr="00EF7B80">
              <w:rPr>
                <w:rFonts w:ascii="Times New Roman" w:hAnsi="Times New Roman" w:cs="Times New Roman"/>
                <w:lang w:val="ru-RU"/>
              </w:rPr>
              <w:t>, роки</w:t>
            </w:r>
          </w:p>
        </w:tc>
        <w:tc>
          <w:tcPr>
            <w:tcW w:w="6230" w:type="dxa"/>
            <w:gridSpan w:val="2"/>
          </w:tcPr>
          <w:p w14:paraId="3FD849D4" w14:textId="77777777" w:rsidR="00667D0D" w:rsidRPr="00EF7B80" w:rsidRDefault="00667D0D" w:rsidP="00D86B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 xml:space="preserve">ЧСС </w:t>
            </w:r>
            <w:proofErr w:type="gramStart"/>
            <w:r w:rsidRPr="00EF7B80">
              <w:rPr>
                <w:rFonts w:ascii="Times New Roman" w:hAnsi="Times New Roman" w:cs="Times New Roman"/>
                <w:lang w:val="ru-RU"/>
              </w:rPr>
              <w:t>уд./</w:t>
            </w:r>
            <w:proofErr w:type="spellStart"/>
            <w:proofErr w:type="gramEnd"/>
            <w:r w:rsidRPr="00EF7B80">
              <w:rPr>
                <w:rFonts w:ascii="Times New Roman" w:hAnsi="Times New Roman" w:cs="Times New Roman"/>
                <w:lang w:val="ru-RU"/>
              </w:rPr>
              <w:t>хв</w:t>
            </w:r>
            <w:proofErr w:type="spellEnd"/>
            <w:r w:rsidRPr="00EF7B8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67D0D" w:rsidRPr="00EF7B80" w14:paraId="12BF9C90" w14:textId="77777777" w:rsidTr="00D86B06">
        <w:tc>
          <w:tcPr>
            <w:tcW w:w="3115" w:type="dxa"/>
            <w:vMerge/>
          </w:tcPr>
          <w:p w14:paraId="5DCA0E88" w14:textId="6F655986" w:rsidR="00667D0D" w:rsidRPr="00EF7B80" w:rsidRDefault="00667D0D" w:rsidP="00D86B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5" w:type="dxa"/>
          </w:tcPr>
          <w:p w14:paraId="2B9C71FE" w14:textId="77777777" w:rsidR="00667D0D" w:rsidRPr="00EF7B80" w:rsidRDefault="00667D0D" w:rsidP="00D86B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B80"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3115" w:type="dxa"/>
          </w:tcPr>
          <w:p w14:paraId="2BCDD70B" w14:textId="77777777" w:rsidR="00667D0D" w:rsidRPr="00EF7B80" w:rsidRDefault="00667D0D" w:rsidP="00D86B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en-US"/>
              </w:rPr>
              <w:t>min</w:t>
            </w:r>
          </w:p>
        </w:tc>
      </w:tr>
      <w:tr w:rsidR="00667D0D" w:rsidRPr="00EF7B80" w14:paraId="74412AE5" w14:textId="77777777" w:rsidTr="00D86B06">
        <w:tc>
          <w:tcPr>
            <w:tcW w:w="3115" w:type="dxa"/>
          </w:tcPr>
          <w:p w14:paraId="5BE5F270" w14:textId="432C7598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1-3</w:t>
            </w:r>
          </w:p>
        </w:tc>
        <w:tc>
          <w:tcPr>
            <w:tcW w:w="3115" w:type="dxa"/>
          </w:tcPr>
          <w:p w14:paraId="1F92A063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3115" w:type="dxa"/>
          </w:tcPr>
          <w:p w14:paraId="571FA671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98</w:t>
            </w:r>
          </w:p>
        </w:tc>
      </w:tr>
      <w:tr w:rsidR="00667D0D" w:rsidRPr="00EF7B80" w14:paraId="4034DB41" w14:textId="77777777" w:rsidTr="00D86B06">
        <w:tc>
          <w:tcPr>
            <w:tcW w:w="3115" w:type="dxa"/>
          </w:tcPr>
          <w:p w14:paraId="031777F9" w14:textId="1BA8195E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3-5</w:t>
            </w:r>
          </w:p>
        </w:tc>
        <w:tc>
          <w:tcPr>
            <w:tcW w:w="3115" w:type="dxa"/>
          </w:tcPr>
          <w:p w14:paraId="36624AC6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3115" w:type="dxa"/>
          </w:tcPr>
          <w:p w14:paraId="73DB5410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65</w:t>
            </w:r>
          </w:p>
        </w:tc>
      </w:tr>
      <w:tr w:rsidR="00667D0D" w:rsidRPr="00EF7B80" w14:paraId="6501DCAD" w14:textId="77777777" w:rsidTr="00D86B06">
        <w:tc>
          <w:tcPr>
            <w:tcW w:w="3115" w:type="dxa"/>
          </w:tcPr>
          <w:p w14:paraId="46CC26C0" w14:textId="1AE1FA20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5-8</w:t>
            </w:r>
          </w:p>
        </w:tc>
        <w:tc>
          <w:tcPr>
            <w:tcW w:w="3115" w:type="dxa"/>
          </w:tcPr>
          <w:p w14:paraId="20F7814C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3115" w:type="dxa"/>
          </w:tcPr>
          <w:p w14:paraId="52280984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667D0D" w:rsidRPr="00EF7B80" w14:paraId="22CBD49E" w14:textId="77777777" w:rsidTr="00D86B06">
        <w:tc>
          <w:tcPr>
            <w:tcW w:w="3115" w:type="dxa"/>
          </w:tcPr>
          <w:p w14:paraId="137BBCE1" w14:textId="6A456255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8-12</w:t>
            </w:r>
          </w:p>
        </w:tc>
        <w:tc>
          <w:tcPr>
            <w:tcW w:w="3115" w:type="dxa"/>
          </w:tcPr>
          <w:p w14:paraId="0D09CA06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3115" w:type="dxa"/>
          </w:tcPr>
          <w:p w14:paraId="4B980A31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55</w:t>
            </w:r>
          </w:p>
        </w:tc>
      </w:tr>
      <w:tr w:rsidR="00667D0D" w:rsidRPr="00EF7B80" w14:paraId="078E0EDA" w14:textId="77777777" w:rsidTr="00D86B06">
        <w:tc>
          <w:tcPr>
            <w:tcW w:w="3115" w:type="dxa"/>
          </w:tcPr>
          <w:p w14:paraId="00A86A93" w14:textId="02DA4660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12-16</w:t>
            </w:r>
          </w:p>
        </w:tc>
        <w:tc>
          <w:tcPr>
            <w:tcW w:w="3115" w:type="dxa"/>
          </w:tcPr>
          <w:p w14:paraId="580D2D38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3115" w:type="dxa"/>
          </w:tcPr>
          <w:p w14:paraId="0C8C9072" w14:textId="77777777" w:rsidR="00667D0D" w:rsidRPr="00EF7B80" w:rsidRDefault="00667D0D" w:rsidP="00667D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B80">
              <w:rPr>
                <w:rFonts w:ascii="Times New Roman" w:hAnsi="Times New Roman" w:cs="Times New Roman"/>
                <w:lang w:val="ru-RU"/>
              </w:rPr>
              <w:t>55</w:t>
            </w:r>
          </w:p>
        </w:tc>
      </w:tr>
    </w:tbl>
    <w:p w14:paraId="6FDC85D4" w14:textId="77777777" w:rsid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</w:p>
    <w:p w14:paraId="7A06FE8A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подразників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F442AB">
        <w:rPr>
          <w:rFonts w:ascii="Times New Roman" w:eastAsia="Yu Gothic" w:hAnsi="Times New Roman" w:cs="Times New Roman"/>
          <w:color w:val="000000"/>
          <w:sz w:val="28"/>
          <w:szCs w:val="28"/>
        </w:rPr>
        <w:t>енезу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гомеостатичних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у 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досить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мінливі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позначається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АТ.</w:t>
      </w:r>
    </w:p>
    <w:p w14:paraId="795FDCF4" w14:textId="6BFA20F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чином: частота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16-18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ударний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DAC8156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підлітковому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ритму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шуми),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мінливі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морфологічні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(прикладом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так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зване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мале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»).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малому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великим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економічно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«межа»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нижча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DEAB476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спортом позитивно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низьку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стресостійкість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вкрай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обережне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контролю.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дозрівання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якісних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перебудов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нейро-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імуно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невротичні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тонусу,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019BBDB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ініціюють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відрізнятися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раннього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дошкільного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як правило,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симптоматичний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причинами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нирок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надниркових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залоз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64881BE" w14:textId="1C684D81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диференціальної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призводять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принципове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т</w:t>
      </w:r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ому </w:t>
      </w:r>
      <w:proofErr w:type="spellStart"/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них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ураження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нирки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пухлина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надниркових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залоз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усунення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патогенетично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обґ</w:t>
      </w:r>
      <w:r w:rsidRPr="00F442AB">
        <w:rPr>
          <w:rFonts w:ascii="Times New Roman" w:eastAsia="Yu Gothic" w:hAnsi="Times New Roman" w:cs="Times New Roman"/>
          <w:color w:val="000000"/>
          <w:sz w:val="28"/>
          <w:szCs w:val="28"/>
        </w:rPr>
        <w:t>рунтованого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6A65746" w14:textId="7E8BBABB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шкільному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і, особливо,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підлітковому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патогенез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відрізняється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місце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вторинна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симптоматична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на перший план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первинна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гіпертонія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80-90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нестійкий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зворотний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патогенез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обумовлюють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нейро</w:t>
      </w:r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імуно</w:t>
      </w:r>
      <w:proofErr w:type="spellEnd"/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місце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нейроциркуляторна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вегето-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дистонія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гіпертонічним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типом.</w:t>
      </w:r>
    </w:p>
    <w:p w14:paraId="466F0CA5" w14:textId="280312A2" w:rsidR="00005092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Правомірна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призводять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нейро</w:t>
      </w:r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імуно</w:t>
      </w:r>
      <w:proofErr w:type="spellEnd"/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свою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</w:t>
      </w:r>
      <w:r w:rsidR="00D73A02" w:rsidRPr="00D73A02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підліткового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знижувати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гіпертензії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онтогенезу.</w:t>
      </w:r>
    </w:p>
    <w:p w14:paraId="2D44E538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силові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особливо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штангою,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1A4F90" w14:textId="77777777" w:rsidR="00005092" w:rsidRPr="00A86B2A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дихальної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підключаються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раціональним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шляхом,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Відмічено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існує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раніше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відсотка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утилізації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вдихуваного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Отже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працюючі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тканини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дитині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провентилювати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 Але</w:t>
      </w:r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економічність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великої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подихів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A86B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раннього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одну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Хоча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обсяг</w:t>
      </w:r>
      <w:proofErr w:type="spellEnd"/>
    </w:p>
    <w:p w14:paraId="576B2652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130-220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мл.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5-8-літніх до 300-450 мл.</w:t>
      </w:r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16-річних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1-3-літньої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подихів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35-40 за 1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то у 5-6-річної –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20-22,</w:t>
      </w:r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6-10-річних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18-20, а у 15-20-річних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юнаків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–16-20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подихів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одну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4A9FDEB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застосовува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ись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рекомендуються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20-ма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присіданнями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60-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ма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підскоками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сек.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юних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15-секундним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бігом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максимальному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1-2-хвилинним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бігом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180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підйоми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сходинку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висота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сходинки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45 см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юнаків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15-18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40 см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87EE9F3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аналогічна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робота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ними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економічно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вигідних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проявляється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тому,</w:t>
      </w:r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правило,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зростанням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меншим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підйомом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аналогічних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невеликих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характерна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але при великих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і, особливо,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повторних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подовжується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E1F75A" w14:textId="77777777" w:rsidR="00005092" w:rsidRPr="00A86B2A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контролю, як допуск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спорту особливо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особливості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функціонування</w:t>
      </w:r>
      <w:proofErr w:type="spellEnd"/>
      <w:r w:rsidRPr="00A86B2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основних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біологічних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систем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організму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в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окремі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періоди</w:t>
      </w:r>
      <w:proofErr w:type="spellEnd"/>
      <w:r w:rsidRPr="00A86B2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онтогенетичного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розвитку</w:t>
      </w:r>
      <w:proofErr w:type="spellEnd"/>
      <w:r w:rsidRPr="00A86B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42DB1D00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існуючих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6AF452A7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збудливості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тлі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відносної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гальмування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баланс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процесами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збудження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гальмування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відбудовується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місце</w:t>
      </w:r>
      <w:proofErr w:type="spellEnd"/>
      <w:r w:rsidRPr="00A86B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превалювання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збудження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3A13BFB6" w14:textId="4DF5C8BE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недосконалість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недовершеності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нейро</w:t>
      </w:r>
      <w:r w:rsidR="00F1087E"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імуно</w:t>
      </w:r>
      <w:proofErr w:type="spellEnd"/>
      <w:r w:rsidR="00F1087E"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22AE8A73" w14:textId="77777777" w:rsidR="00005092" w:rsidRPr="0052139E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виразність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напруженні</w:t>
      </w:r>
      <w:proofErr w:type="spellEnd"/>
      <w:r w:rsidRPr="0052139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контролює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рухових</w:t>
      </w:r>
      <w:proofErr w:type="spellEnd"/>
      <w:r w:rsidRPr="0052139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функцій;</w:t>
      </w:r>
      <w:r w:rsidRPr="00F442AB">
        <w:rPr>
          <w:rFonts w:ascii="Times New Roman" w:eastAsia="TimesNewRoman" w:hAnsi="Times New Roman" w:cs="Times New Roman"/>
          <w:color w:val="FFFFFF"/>
          <w:sz w:val="28"/>
          <w:szCs w:val="28"/>
        </w:rPr>
        <w:t>2</w:t>
      </w:r>
    </w:p>
    <w:p w14:paraId="1D0235BF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неекономічність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шляхів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витрати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енергетичного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78D49D4D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недосконала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задовольняти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кисневий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запит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максимального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споживання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короткий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0FA386AA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анаеробних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0F71EC9F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08F4078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занять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пам’ятати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онтогенетичний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протікає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гетерохронно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аналізатора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Так,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проходить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нерівномірно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посиленого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росту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дошкільний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підлітковий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32A8F19E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онтогенезі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закономірності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темп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співпадає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росту;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посиленого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росту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енергетичних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недосконалості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імунологічного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раннього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стійкість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інфекційного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F442AB">
        <w:rPr>
          <w:rFonts w:ascii="Times New Roman" w:eastAsia="Yu Gothic" w:hAnsi="Times New Roman" w:cs="Times New Roman"/>
          <w:color w:val="000000"/>
          <w:sz w:val="28"/>
          <w:szCs w:val="28"/>
        </w:rPr>
        <w:t>енезу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дизрегуляторні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функціонуванні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гомеостатичних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11-15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статевої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обережності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дозуванні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хлопців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так і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пубертатному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онтогенезу.</w:t>
      </w:r>
    </w:p>
    <w:p w14:paraId="164A12D1" w14:textId="77777777" w:rsidR="00005092" w:rsidRPr="005F1760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питань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педагогу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вікових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нормативів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дитячого</w:t>
      </w:r>
      <w:proofErr w:type="spellEnd"/>
      <w:r w:rsidRPr="005F176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організму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усвідомлювати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онтогенетичні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особливості</w:t>
      </w:r>
      <w:proofErr w:type="spellEnd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,Italic" w:hAnsi="Times New Roman" w:cs="Times New Roman"/>
          <w:b/>
          <w:bCs/>
          <w:color w:val="000000"/>
          <w:sz w:val="28"/>
          <w:szCs w:val="28"/>
        </w:rPr>
        <w:t>окремих</w:t>
      </w:r>
      <w:proofErr w:type="spellEnd"/>
      <w:r w:rsidRPr="005F176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вікових</w:t>
      </w:r>
      <w:proofErr w:type="spellEnd"/>
      <w:r w:rsidRPr="005F176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176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періодів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школа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уроках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секціях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 Особливо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школах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переходу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2C09C4A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Допуск до занять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видом спорту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психомоторних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а також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характеру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засоби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обираються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лікарем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співдружності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тренером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етапу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розраховується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кожної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ряд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етап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початкова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II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етап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III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етап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2389DD9" w14:textId="79D3DFBC" w:rsidR="00005092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 допуску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званих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аномалій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», «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мінімальних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мозкових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дисфукнцій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цілого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ряду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загрозливих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умов</w:t>
      </w:r>
      <w:r w:rsidR="002E5999" w:rsidRPr="002E5999"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адекватного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режиму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втім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підсилює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потужній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роботі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серйозних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ускладнень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несумісними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життям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відноситься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аномалій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(пролапсу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мітрального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клапану, аномально</w:t>
      </w:r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розташованих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хорд,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аневризмів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коронарних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5F17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крупних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артеріовенозних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дисмоляцій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аномалій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54401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 (синдрому «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короткої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шиї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шийних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ребер,</w:t>
      </w:r>
      <w:r w:rsidRPr="0054401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недорозвитку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хребців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.),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ектопії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яєчок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крипторхізму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у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хлопчиків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до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діенцефального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синдрому з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наявністю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вегетодисфункцій</w:t>
      </w:r>
      <w:proofErr w:type="spellEnd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в пубертатному </w:t>
      </w:r>
      <w:proofErr w:type="spellStart"/>
      <w:r w:rsidRPr="002E5999">
        <w:rPr>
          <w:rFonts w:ascii="Times New Roman" w:eastAsia="TimesNewRoman" w:hAnsi="Times New Roman" w:cs="Times New Roman"/>
          <w:color w:val="FF0000"/>
          <w:sz w:val="28"/>
          <w:szCs w:val="28"/>
        </w:rPr>
        <w:t>періоді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</w:p>
    <w:p w14:paraId="710C54F0" w14:textId="77777777" w:rsidR="00005092" w:rsidRPr="00544016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таких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позитивному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</w:p>
    <w:p w14:paraId="0123637E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вимог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5AC8641" w14:textId="77777777" w:rsidR="00005092" w:rsidRPr="00544016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Вимоги</w:t>
      </w:r>
      <w:proofErr w:type="spellEnd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до </w:t>
      </w:r>
      <w:proofErr w:type="spellStart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організації</w:t>
      </w:r>
      <w:proofErr w:type="spellEnd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занять з </w:t>
      </w:r>
      <w:proofErr w:type="spellStart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фізичної</w:t>
      </w:r>
      <w:proofErr w:type="spellEnd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культури</w:t>
      </w:r>
      <w:proofErr w:type="spellEnd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спорту для</w:t>
      </w:r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дітей</w:t>
      </w:r>
      <w:proofErr w:type="spellEnd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підлітків</w:t>
      </w:r>
      <w:proofErr w:type="spellEnd"/>
      <w:r w:rsidRPr="0054401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06A74F46" w14:textId="423CFC68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регулярності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B98DF55" w14:textId="027196D9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індивідуалізованого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(особливо в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перехідні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онтогенезу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критичні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12BCB4D8" w14:textId="63C82F18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Дотримання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чим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молодшим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використовуватись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при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були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нетривалими</w:t>
      </w:r>
      <w:proofErr w:type="spellEnd"/>
    </w:p>
    <w:p w14:paraId="6C728AB2" w14:textId="77777777" w:rsidR="00005092" w:rsidRPr="000A3784" w:rsidRDefault="00005092" w:rsidP="000A3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>мали</w:t>
      </w:r>
      <w:proofErr w:type="spellEnd"/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>ігровий</w:t>
      </w:r>
      <w:proofErr w:type="spellEnd"/>
      <w:r w:rsidRPr="000A378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характер.</w:t>
      </w:r>
    </w:p>
    <w:p w14:paraId="013FD2C4" w14:textId="57663022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односпрямованих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будь-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напроти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збільшення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симетричного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задля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правильної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постави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88565AD" w14:textId="66EF6606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комплектації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занять з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однорідності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добору тих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тренуватися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станом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певними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здібностями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09A415E" w14:textId="2F67C0B8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Найсуворіше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санітарно-гігієничних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 – в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побуті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режимах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способах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достатній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відпочинок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тренуваннями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обов’язковим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сон повинен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складати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9-10</w:t>
      </w:r>
      <w:proofErr w:type="gram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годин на добу; а у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іспитів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зменшувати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38CA75DF" w14:textId="0927E5F6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емоційності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емпатійності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різноманітності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неприпустима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шаблонність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методиках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для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стомлення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дитини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A18CF7B" w14:textId="389CC15F" w:rsidR="00005092" w:rsidRPr="00F1087E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нормативів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неприпустимі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перенавантаження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надмірним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напруженнями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перевтомою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34DC78C0" w14:textId="72AC01DC" w:rsidR="00005092" w:rsidRDefault="00005092" w:rsidP="00F1087E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поглибленого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два рази на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рік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діти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пройшли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, до занять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не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допускатися</w:t>
      </w:r>
      <w:proofErr w:type="spellEnd"/>
      <w:r w:rsidRPr="00F1087E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212F1723" w14:textId="77777777" w:rsidR="000A3784" w:rsidRPr="000A3784" w:rsidRDefault="000A3784" w:rsidP="000A3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9113A24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Медико-</w:t>
      </w:r>
      <w:proofErr w:type="spellStart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педагогічний</w:t>
      </w:r>
      <w:proofErr w:type="spellEnd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контроль занять з </w:t>
      </w:r>
      <w:proofErr w:type="spellStart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фізичної</w:t>
      </w:r>
      <w:proofErr w:type="spellEnd"/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 старших </w:t>
      </w:r>
      <w:proofErr w:type="spellStart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вікових</w:t>
      </w:r>
      <w:proofErr w:type="spellEnd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групах</w:t>
      </w:r>
      <w:proofErr w:type="spellEnd"/>
    </w:p>
    <w:p w14:paraId="74F02921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закономірним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природнім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воно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фізіологічним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прискореним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патологічним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)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старінні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виснажуються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гармонійно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різких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якісних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кількісних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генетичного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тягарю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попередніх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поколінь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негативного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антропогенних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F442AB">
        <w:rPr>
          <w:rFonts w:ascii="Times New Roman" w:eastAsia="Yu Gothic" w:hAnsi="Times New Roman" w:cs="Times New Roman"/>
          <w:color w:val="000000"/>
          <w:sz w:val="28"/>
          <w:szCs w:val="28"/>
        </w:rPr>
        <w:t>енезу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а також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недотримання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здорового способу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життя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переїдання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гіподинамія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табакокуріння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зловживання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алкоголем,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вживання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опіоїдів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наркотичних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3C66BDB7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поглиблюватися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негативного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недостатньої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фахівців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тому,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уповільнити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таким чином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запобігти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Оптимальна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уповільнювати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подовжувати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життя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й,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найважливіше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збереженню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Особи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вже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отримали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величезний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здобули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довше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корисними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своєї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родини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C88F085" w14:textId="1DE44EF5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</w:t>
      </w:r>
      <w:r w:rsidR="0030515E" w:rsidRPr="0030515E">
        <w:rPr>
          <w:rFonts w:ascii="Times New Roman" w:eastAsia="TimesNewRoman" w:hAnsi="Times New Roman" w:cs="Times New Roman"/>
          <w:color w:val="000000"/>
          <w:sz w:val="28"/>
          <w:szCs w:val="28"/>
        </w:rPr>
        <w:t>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оздоровчої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фахівцям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своєрідність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індивідуалізоване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різноплановість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прояву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цілому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енергетичних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спеціалізованих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C7FEC64" w14:textId="452578B3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Загальноприйнятим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поділ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людей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="0030515E" w:rsidRPr="003051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а)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зрілий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19-39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19-34 роки;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40-59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35-54 роки; в)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похилий</w:t>
      </w:r>
      <w:proofErr w:type="spellEnd"/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60-74 роки,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55-74 роки; г)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старечий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D062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75-90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д)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довгожителі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91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29C9C83" w14:textId="59FD14FB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</w:t>
      </w:r>
      <w:r w:rsidR="000E0A5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стану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поділяють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чотири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1D2CFB73" w14:textId="57C40870" w:rsidR="00005092" w:rsidRPr="00916D58" w:rsidRDefault="00916D58" w:rsidP="00916D58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</w:t>
      </w:r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дорові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з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фізіологічним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перебігом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підготовленістю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4A01EA6C" w14:textId="3DBC8E78" w:rsidR="00005092" w:rsidRPr="000E0A59" w:rsidRDefault="00916D58" w:rsidP="000E0A5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соби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незначними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відхиленнями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0E0A5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иникають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тлі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вікових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не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супроводжуються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суттєвими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функціональними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зрушеннями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недостатньою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підготовленістю</w:t>
      </w:r>
      <w:proofErr w:type="spellEnd"/>
      <w:r w:rsidR="00005092" w:rsidRPr="000E0A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</w:p>
    <w:p w14:paraId="468B09BA" w14:textId="063C46C2" w:rsidR="00005092" w:rsidRPr="00916D58" w:rsidRDefault="00916D58" w:rsidP="00916D58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О</w:t>
      </w:r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соби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значними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відхиленнями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 з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знижених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слабкою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підготовленістю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5F00EBE7" w14:textId="4E5D29A1" w:rsidR="00005092" w:rsidRPr="00916D58" w:rsidRDefault="00916D58" w:rsidP="00916D58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Х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ворі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люди з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наявністю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="00005092" w:rsidRPr="00916D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166D3C3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Першим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трьом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останньої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четвертої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віднесені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2-ї та 3-ї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суворо</w:t>
      </w:r>
      <w:proofErr w:type="spellEnd"/>
      <w:r w:rsidRPr="00BB7B8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індивідуалізованого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BB7B8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0D6A753" w14:textId="34539123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метою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1-ї та 2-ї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нахили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по 20 раз</w:t>
      </w:r>
      <w:proofErr w:type="spellStart"/>
      <w:r w:rsidR="0030515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40 с; 60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сходжень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лавку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сходинку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висотою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40 см за 2,5 і 4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та ходьбу по сходах. Особам,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віднесені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3-ї та 4-ї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недостатності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коронарного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10-ть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5-ть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стілець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перехід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горизонтального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ходьбу.</w:t>
      </w:r>
    </w:p>
    <w:p w14:paraId="65DDD991" w14:textId="4A1F934C" w:rsidR="00005092" w:rsidRPr="00BB7B80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Hlk148438264"/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Вимоги</w:t>
      </w:r>
      <w:proofErr w:type="spellEnd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побажання</w:t>
      </w:r>
      <w:proofErr w:type="spellEnd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до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організації</w:t>
      </w:r>
      <w:proofErr w:type="spellEnd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фізичних</w:t>
      </w:r>
      <w:proofErr w:type="spellEnd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тренувань</w:t>
      </w:r>
      <w:proofErr w:type="spellEnd"/>
      <w:r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у людей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середнього</w:t>
      </w:r>
      <w:proofErr w:type="spellEnd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похилого</w:t>
      </w:r>
      <w:proofErr w:type="spellEnd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вік</w:t>
      </w:r>
      <w:proofErr w:type="spellEnd"/>
      <w:r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</w:t>
      </w:r>
      <w:r w:rsidRPr="00BB7B8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0AF07548" w14:textId="7C03CB09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градації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об’єднанні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окремі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загальноприйнятою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градація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45-50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50-60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похилий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56-60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61-70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старший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66-75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71-80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більше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повинен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20-25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15-18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5D00A52" w14:textId="2585710D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мету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оздоровлення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загальнозміцнюючої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дії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подолання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повинна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організовувати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подолання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дистанції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підйом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максимальної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ваги).</w:t>
      </w:r>
    </w:p>
    <w:p w14:paraId="0CE79B04" w14:textId="7A5A44D9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1-3</w:t>
      </w:r>
      <w:proofErr w:type="gram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щадного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рідше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режимів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завжди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функціональним</w:t>
      </w:r>
      <w:proofErr w:type="spellEnd"/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можливостям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C32A466" w14:textId="2D9FDFBA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такої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якої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подовжується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вступної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підготовчої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увага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приділяється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0566E64" w14:textId="11DB91DF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людей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швідкисного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силового характеру,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зменшуються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в той же час,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ініціюють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 для них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цілком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доступні</w:t>
      </w:r>
      <w:proofErr w:type="spellEnd"/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ефект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4216EB3" w14:textId="114BF493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помірною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інтенсивністю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повинна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50%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максимально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допустимої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даної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особи);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корисними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ходьби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прогулянок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бігу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підтюпцем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темпі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gram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т.п.</w:t>
      </w:r>
      <w:proofErr w:type="gramEnd"/>
    </w:p>
    <w:p w14:paraId="51A0A0C5" w14:textId="08B88A26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людей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спостерігається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молодшими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особами.</w:t>
      </w:r>
    </w:p>
    <w:p w14:paraId="1A4473F2" w14:textId="37C3B61F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диференціювання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віковими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особливостями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психомоторних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еластичність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зв'язок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багатьох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старше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гнучкості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рухомості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рухливості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знижуються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координаційні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здібності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нових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корисними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покращення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координаційних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62F1442" w14:textId="2DE721A7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повинно бути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емоційно-насиченним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різноманітним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широкім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рухливих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ігор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ігор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порядкові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загальнозміцнюючі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снарядами і без них,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гімнастичних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лавках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стінці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танцювальні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кроки,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рівновагу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естафети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гру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бадмінтон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.; при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ігор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</w:t>
      </w:r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полегшеними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пояснити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принести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користь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плані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29099C" w14:textId="4CADC687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виключення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людей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емоційного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різких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обертів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опускання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пояса;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те,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було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правильним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вільним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C627327" w14:textId="0573BE94" w:rsidR="00005092" w:rsidRPr="007D73DC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заключної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приємної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втоми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гарний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настрій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продовжувати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якому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викликати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втому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зауважити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не повинна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здійснюватись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воно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оманливим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тому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повинна бути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об’єктивована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фахівцями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7E84B9A" w14:textId="4BC65A97" w:rsidR="00005092" w:rsidRDefault="00005092" w:rsidP="007D73DC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Запровадження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контролю: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напочатку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(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щонайменше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півроку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рідше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одного разу на 3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місяці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та у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подальшому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рідше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одного разу на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півроку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допомагають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індивідуалізувати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особи.</w:t>
      </w:r>
    </w:p>
    <w:bookmarkEnd w:id="0"/>
    <w:p w14:paraId="62074C45" w14:textId="77777777" w:rsidR="007D73DC" w:rsidRPr="007D73DC" w:rsidRDefault="007D73DC" w:rsidP="007D73D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65A921C5" w14:textId="77777777" w:rsidR="00005092" w:rsidRP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F442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Морфофункціональні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особливості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жіночого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організму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вимоги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занять з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виховання</w:t>
      </w:r>
      <w:proofErr w:type="spellEnd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спорту</w:t>
      </w:r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00509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</w:p>
    <w:p w14:paraId="24815FB4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та, особливо,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морфо-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2414DC4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Раціонально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адекватно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побудовані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позитивно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стан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оптимальному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найважливіших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материнства. В той же час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відмінностей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порушувати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репродуктивної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сфери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E5115B7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диморфізм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мірою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віддзеркалює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психомоторні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позначається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тулуб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довший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коротші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плечі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вужчі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ширший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 Центр ваги</w:t>
      </w:r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відіграє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роль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біомеханіці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психомоторні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вони легко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рівновагу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гнучкість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однак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м'язова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вага 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32-35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той час як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40-45%.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мускулатури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прояв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кистей,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спини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ніг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Жирова тканина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напроти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ваги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28%,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тоді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частка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жирової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тканини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становить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18%.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М’язи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еластичні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рухомість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м’якість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плавність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передумовою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представниць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деформацій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хребта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стопи,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опорно-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7BB128E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відрізня</w:t>
      </w:r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>є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чоловіками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r w:rsidRPr="00D677D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судинної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систем. Так,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10-15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об'єм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роботі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кардио-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респіраторні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ударний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об'єм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змушене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них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скорочуватися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частотою. Тому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ЧСС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аналогічного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Вміст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гемоглобіну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1,5%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послаблені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киснево-транспорті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Частота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подихів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більша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20-24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меншу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глибину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ємність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представниць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Максимальне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споживання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 за 1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в той час як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</w:p>
    <w:p w14:paraId="1EC39BD8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4-5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 за 1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60-80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параметра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Адаптація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більшим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кардіо-респіраторної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зустрічаються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атипові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типи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протікають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13E612B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відрізняються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властивостями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особливостями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асиметрії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мозку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когнітивними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стилями.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представниць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збудливість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збудження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них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превалює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гальмування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відмічаються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проявами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подразники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психоемоційні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зриви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психоневротичні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1229532" w14:textId="557C6F2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відмінності</w:t>
      </w:r>
      <w:proofErr w:type="spellEnd"/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порівнянні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виразними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спорту.</w:t>
      </w:r>
    </w:p>
    <w:p w14:paraId="06C2928F" w14:textId="07D82DA6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Морфофункціональні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передумови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успішних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видами спорту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ускладнюють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 першу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 w:rsidR="007D73DC" w:rsidRPr="007D73DC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олімпійських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спорту.</w:t>
      </w:r>
    </w:p>
    <w:p w14:paraId="717D20EF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легкістю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гнучкості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ритму,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рівноваги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координації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типу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фізіологічних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Але,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м’язової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дещо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гірше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подібним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програмах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відведено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місця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865585F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Приймаючи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уваги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одних і тих 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>самих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об'єм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істотно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нижчими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 то вони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теж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розрізнятися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чоловічої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2FC35EA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Недопустимим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спортсменками,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неминуче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ризик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перевантаження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0AD2015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хлопчиків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дівчаток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майже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дошкільному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періодом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нейтральної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натомість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передпубертатному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пубертатному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періодах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онтогенезу при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плануванні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методики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статеві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CB4A9CF" w14:textId="77777777" w:rsidR="00005092" w:rsidRPr="009D708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" w:name="_Hlk148438395"/>
      <w:proofErr w:type="spellStart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Особливості</w:t>
      </w:r>
      <w:proofErr w:type="spellEnd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організації</w:t>
      </w:r>
      <w:proofErr w:type="spellEnd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фізичних</w:t>
      </w:r>
      <w:proofErr w:type="spellEnd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тренувань</w:t>
      </w:r>
      <w:proofErr w:type="spellEnd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жінок</w:t>
      </w:r>
      <w:proofErr w:type="spellEnd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bookmarkEnd w:id="1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урахуванням</w:t>
      </w:r>
      <w:proofErr w:type="spellEnd"/>
      <w:r w:rsidRPr="009D708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фаз менструального циклу</w:t>
      </w:r>
    </w:p>
    <w:p w14:paraId="79E33E7E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репродуктивну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сферу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відбудовувати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циклічності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нейрогуморальною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регуляцією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залоз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секреції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оваріально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-менструального циклу.</w:t>
      </w:r>
    </w:p>
    <w:p w14:paraId="1DE14EE1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Менструальний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цикл, як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679BBED0" w14:textId="52322A90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1)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менструальна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1-5</w:t>
      </w:r>
      <w:proofErr w:type="gram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днів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);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2)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післяменструальна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(з 6-го до</w:t>
      </w: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12 дня);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3)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‒ овуляторна (13-15 день);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4) ‒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післяовуляторна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(16-24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дні</w:t>
      </w:r>
      <w:proofErr w:type="spellEnd"/>
      <w:r w:rsidR="0026111F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цикл</w:t>
      </w:r>
      <w:r w:rsidR="0026111F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);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5) </w:t>
      </w:r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передменструальна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(25-28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дні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).</w:t>
      </w:r>
    </w:p>
    <w:p w14:paraId="5CF430CA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фаз</w:t>
      </w:r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менструального циклу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нейрогуморальній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гормонального статусу,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психофізіологічному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D708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перебудова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нейрогормональних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транспорту</w:t>
      </w:r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споживання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активних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якісних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перебудов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ієрархічних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рівнях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нейро-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імуно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молекулярно-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генетичного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означені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оваріально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-менструального циклу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індивідуалізованим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істотно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Цілком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зрозуміло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кожної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підвищити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фаз</w:t>
      </w:r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менструального циклу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певної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F009F8F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дійсний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переконливо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доведено,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оптимальними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післяменструальна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післяовуляторна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менструального циклу. 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тренувальні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великим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обсягом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інтенсивністю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рекомендуються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швидкісно-силових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психомоторних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спеціальної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5F5F32F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27A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вразливими</w:t>
      </w:r>
      <w:proofErr w:type="spellEnd"/>
      <w:r w:rsidRPr="00F442AB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передменструальна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менструальна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овуляторна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фаз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ці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фази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оваріально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-менструального циклу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щадного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режиму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77F41CA" w14:textId="77777777" w:rsidR="00005092" w:rsidRPr="00F442AB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gram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 першу</w:t>
      </w:r>
      <w:proofErr w:type="gram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фазу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оваріально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-менструального циклу, особливо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перші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менструації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вирішуватися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680BDBFD" w14:textId="6D94B92B" w:rsidR="00005092" w:rsidRPr="0026111F" w:rsidRDefault="0026111F" w:rsidP="0026111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2" w:name="_Hlk148438505"/>
      <w:proofErr w:type="spellStart"/>
      <w:r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</w:t>
      </w:r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овачкам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дівчатам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жінкам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в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гормональних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дисфункцій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пубертатний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передклімактеричний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не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брати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змаганнях;</w:t>
      </w:r>
      <w:r w:rsidR="00005092" w:rsidRPr="0026111F">
        <w:rPr>
          <w:rFonts w:ascii="Times New Roman" w:eastAsia="TimesNewRoman" w:hAnsi="Times New Roman" w:cs="Times New Roman"/>
          <w:color w:val="FFFFFF"/>
          <w:sz w:val="28"/>
          <w:szCs w:val="28"/>
        </w:rPr>
        <w:t>204</w:t>
      </w:r>
    </w:p>
    <w:p w14:paraId="2A03719F" w14:textId="2C94357E" w:rsidR="00005092" w:rsidRPr="0026111F" w:rsidRDefault="0026111F" w:rsidP="0026111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Т</w:t>
      </w:r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ренованим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спортсменкам, у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немає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ніяких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оваріально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-менструальному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циклі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менструації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регулярні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безболісні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дозволити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зменшити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уникати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плаванням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сильними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струсами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великими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зусиллями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напруженнями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з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охолодженням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перегріванням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12AAC23" w14:textId="218A291B" w:rsidR="00005092" w:rsidRPr="0026111F" w:rsidRDefault="0026111F" w:rsidP="0026111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</w:t>
      </w:r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портсменкам, у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менструальному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циклі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дівчатам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сформанованою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статевою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системою,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менструацій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дозволяються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статевої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жіночої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сфери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D1AB094" w14:textId="5CF52BC5" w:rsidR="00005092" w:rsidRPr="0026111F" w:rsidRDefault="0026111F" w:rsidP="0026111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</w:t>
      </w:r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атегорично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дівчатам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жінкам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приймати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фармакологічні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препарати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засоби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сприяють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затримці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навпаки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прискоренню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менструації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бо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призвести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наслідків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плані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нейро-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імуно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ендокринної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="00005092" w:rsidRPr="002611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2"/>
    <w:p w14:paraId="43F4ECE4" w14:textId="77777777" w:rsidR="00005092" w:rsidRDefault="00005092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Існує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багато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доказів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материнство позитивно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позначається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спортивній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успішності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значна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видатних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спортсменок,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показували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свої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маючи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одного,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двох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спорт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зміцнюють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позитивно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сприятливий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вагітності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пологів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настанням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вагітності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жінки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особливо,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припинити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вагітним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рекомендувати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оздоровчі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6427A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показаннями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гімнастику</w:t>
      </w:r>
      <w:proofErr w:type="spellEnd"/>
      <w:r w:rsidRPr="00F442A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03B3ABF" w14:textId="77777777" w:rsidR="005C741F" w:rsidRDefault="005C741F" w:rsidP="00005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3" w:name="_Hlk148438678"/>
    </w:p>
    <w:p w14:paraId="36483E36" w14:textId="78899A05" w:rsidR="00005092" w:rsidRPr="00005092" w:rsidRDefault="00005092" w:rsidP="00005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Значення</w:t>
      </w:r>
      <w:proofErr w:type="spellEnd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самоконтролю у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процесі</w:t>
      </w:r>
      <w:proofErr w:type="spellEnd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виховання</w:t>
      </w:r>
      <w:proofErr w:type="spellEnd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спортивної</w:t>
      </w:r>
      <w:proofErr w:type="spellEnd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0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діяльності</w:t>
      </w:r>
      <w:proofErr w:type="spellEnd"/>
    </w:p>
    <w:bookmarkEnd w:id="3"/>
    <w:p w14:paraId="611EDB2C" w14:textId="4591B9D6" w:rsidR="00005092" w:rsidRPr="006B5D8E" w:rsidRDefault="00005092" w:rsidP="00D44F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обліку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самоспостережень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контролювати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свій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ухвалювати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</w:t>
      </w:r>
      <w:proofErr w:type="spellEnd"/>
      <w:r w:rsidR="007273D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побудови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D44F0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Самоконтроль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організує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особу до активного</w:t>
      </w:r>
      <w:r w:rsidR="00D44F0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стану.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всій</w:t>
      </w:r>
      <w:proofErr w:type="spellEnd"/>
      <w:r w:rsidR="00D44F0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особою самоконтролю в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="00D44F0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контроль. Тому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двох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разів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рік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всім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категоріям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консультацій</w:t>
      </w:r>
      <w:proofErr w:type="spellEnd"/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спеціалістів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суворо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BA6956A" w14:textId="6D817F63" w:rsidR="00005092" w:rsidRPr="006B5D8E" w:rsidRDefault="00005092" w:rsidP="00626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Самооцінка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визнаним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D44F0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справедливо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вказують</w:t>
      </w:r>
      <w:proofErr w:type="spellEnd"/>
      <w:r w:rsidR="00D44F0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видатних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науковців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самоконтролю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пов’язано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сучасного</w:t>
      </w:r>
      <w:proofErr w:type="spellEnd"/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дослідника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суб’єктивних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обов’язковою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умовою</w:t>
      </w:r>
      <w:proofErr w:type="spellEnd"/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повноцінної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якісної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особи –</w:t>
      </w:r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зумовлює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спеціалізованих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</w:t>
      </w:r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суб’єктивної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для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="00D44F03" w:rsidRPr="00D44F0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для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</w:p>
    <w:p w14:paraId="04CCB538" w14:textId="0C7B3863" w:rsidR="00005092" w:rsidRPr="006B5D8E" w:rsidRDefault="00005092" w:rsidP="00626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власні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заносити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щоденник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bookmarkStart w:id="4" w:name="_Hlk148438663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самоконтролю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об'єктивні</w:t>
      </w:r>
      <w:proofErr w:type="spellEnd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й </w:t>
      </w:r>
      <w:proofErr w:type="spellStart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суб'єктивні</w:t>
      </w:r>
      <w:proofErr w:type="spellEnd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C04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DC04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04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ознаки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об'єктивних</w:t>
      </w:r>
      <w:proofErr w:type="spellEnd"/>
      <w:r w:rsidRPr="006B5D8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регіструють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ЧСС,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="00626F42" w:rsidRPr="00626F4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ступінь</w:t>
      </w:r>
      <w:proofErr w:type="spellEnd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потовиділення</w:t>
      </w:r>
      <w:proofErr w:type="spellEnd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кистьову</w:t>
      </w:r>
      <w:proofErr w:type="spellEnd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динамометрію</w:t>
      </w:r>
      <w:proofErr w:type="spellEnd"/>
      <w:r w:rsidRPr="00626F4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End w:id="4"/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Підрахунок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особа повинна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зранку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лежачи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ліжку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закономірне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65-75</w:t>
      </w:r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48-56 </w:t>
      </w:r>
      <w:proofErr w:type="gram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стійкі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8-10 </w:t>
      </w:r>
      <w:proofErr w:type="gram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день у день</w:t>
      </w:r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будуть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різко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змінюватися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консультацію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самоконтролю ЧСС 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усвідомити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граничних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швидкісно-силових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звичайно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180-200 </w:t>
      </w:r>
      <w:proofErr w:type="gram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Повторення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серій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швидкісно-силової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силову</w:t>
      </w:r>
      <w:proofErr w:type="spellEnd"/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"до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")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</w:t>
      </w:r>
      <w:r w:rsidR="00626F42" w:rsidRPr="00626F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120-130 </w:t>
      </w:r>
      <w:proofErr w:type="gram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служить</w:t>
      </w:r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</w:t>
      </w:r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самоконтроль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один раз 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вранці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натщесерце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перевірити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втрату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важкого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виснажливого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354925F" w14:textId="324FDF75" w:rsidR="00005092" w:rsidRPr="006B5D8E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5" w:name="_Hlk148438737"/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Оцінка</w:t>
      </w:r>
      <w:proofErr w:type="spellEnd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ступеню</w:t>
      </w:r>
      <w:proofErr w:type="spellEnd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6F4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потовиділення</w:t>
      </w:r>
      <w:proofErr w:type="spellEnd"/>
      <w:r w:rsidRPr="006B5D8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також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слугувати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непрямим</w:t>
      </w:r>
      <w:proofErr w:type="spellEnd"/>
      <w:r w:rsidR="00626F4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методом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кілька</w:t>
      </w:r>
      <w:proofErr w:type="spellEnd"/>
      <w:r w:rsidR="00626F4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пітливості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C04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помірну</w:t>
      </w:r>
      <w:proofErr w:type="spellEnd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значну</w:t>
      </w:r>
      <w:proofErr w:type="spellEnd"/>
      <w:r w:rsidR="00E57756" w:rsidRPr="00DC040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й </w:t>
      </w:r>
      <w:proofErr w:type="spellStart"/>
      <w:r w:rsidRPr="00DC040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надмірну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bookmarkEnd w:id="5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потовиділення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зменшується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потовиділення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занять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а</w:t>
      </w:r>
      <w:r w:rsidR="00E57756" w:rsidRPr="00667D0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емоційному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дисфункції</w:t>
      </w:r>
      <w:proofErr w:type="spellEnd"/>
      <w:r w:rsidR="00E57756" w:rsidRPr="00667D0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особа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потребу</w:t>
      </w:r>
      <w:r w:rsidR="00E57756" w:rsidRPr="00667D0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звернутися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4B04189" w14:textId="360830D9" w:rsidR="00005092" w:rsidRPr="006B5D8E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6" w:name="_Hlk148438757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суб'єктивних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</w:t>
      </w:r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самопочуття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оцінку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працездатності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бажання</w:t>
      </w:r>
      <w:proofErr w:type="spellEnd"/>
      <w:r w:rsidR="00E57756" w:rsidRPr="00E5775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тренуватися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сон,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апетит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хворобливі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й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тривожні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відчуття</w:t>
      </w:r>
      <w:proofErr w:type="spellEnd"/>
      <w:r w:rsidRPr="00E5775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bookmarkEnd w:id="6"/>
    <w:p w14:paraId="508074DF" w14:textId="27C2898E" w:rsidR="00005092" w:rsidRPr="006B5D8E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Самопочуття</w:t>
      </w:r>
      <w:proofErr w:type="spellEnd"/>
      <w:r w:rsidRPr="006B5D8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таким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інтегральним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параметром,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особою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а)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будь-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незвичайних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болю; б)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бадьорості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млявості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утоми; в) за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самооцінкою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воно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гарним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поганим. З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появою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незвичних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відзначила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локалізацію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можливу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причину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D2E1731" w14:textId="2648F2CB" w:rsidR="00005092" w:rsidRPr="006B5D8E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Оцінка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працездатності</w:t>
      </w:r>
      <w:proofErr w:type="spellEnd"/>
      <w:r w:rsidRPr="006B5D8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особи,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настрою,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самоконтролі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висока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середня</w:t>
      </w:r>
      <w:proofErr w:type="spellEnd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й </w:t>
      </w: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низька</w:t>
      </w:r>
      <w:proofErr w:type="spellEnd"/>
      <w:r w:rsidRPr="00E5775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Тривала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тренуватися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ознакою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перетренованості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F542B54" w14:textId="4F324A8E" w:rsidR="00005092" w:rsidRPr="00E57756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Сон</w:t>
      </w:r>
      <w:r w:rsidRPr="006B5D8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особи за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тривалістю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бути не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7-8</w:t>
      </w:r>
      <w:proofErr w:type="gram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годин, а при</w:t>
      </w:r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9-10 годин на добу.</w:t>
      </w:r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самоконтролі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</w:t>
      </w:r>
      <w:r w:rsidR="00DC040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є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струвати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годин сну, так</w:t>
      </w:r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гарний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міцний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заси</w:t>
      </w:r>
      <w:proofErr w:type="spellEnd"/>
      <w:r w:rsidR="00DC040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часте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раннє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пробудження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сновидіння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безсоння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характер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снів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</w:t>
      </w:r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психічну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бадьорість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гарний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настрій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Поява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безсоння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підвищеної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сонливості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неспокійного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сну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свідчать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5619B08" w14:textId="6A8A5E1F" w:rsidR="00005092" w:rsidRPr="006B5D8E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5775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Апетит</w:t>
      </w:r>
      <w:proofErr w:type="spellEnd"/>
      <w:r w:rsidRPr="006B5D8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відзначається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самоконтролі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апетиту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вказують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стомлення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хворобливий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стан.</w:t>
      </w:r>
    </w:p>
    <w:p w14:paraId="2EF91158" w14:textId="5762FF14" w:rsidR="00005092" w:rsidRPr="006B5D8E" w:rsidRDefault="00005092" w:rsidP="00E57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Отже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своїм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психофізичним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станом,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постійний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 і спортом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допомагає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краще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диференціювати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власні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самовідчуття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можливість</w:t>
      </w:r>
      <w:proofErr w:type="spellEnd"/>
      <w:r w:rsid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своєчасного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коректив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самостійному</w:t>
      </w:r>
      <w:proofErr w:type="spellEnd"/>
      <w:r w:rsidR="00DC040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плануванні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6B5D8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DE1BAA0" w14:textId="77777777" w:rsidR="00E57756" w:rsidRDefault="00E57756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41B3A42" w14:textId="0EC45AF2" w:rsidR="00005092" w:rsidRPr="006B5D8E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Питання</w:t>
      </w:r>
      <w:proofErr w:type="spellEnd"/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контролю </w:t>
      </w:r>
      <w:proofErr w:type="spellStart"/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засвоєння</w:t>
      </w:r>
      <w:proofErr w:type="spellEnd"/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знань</w:t>
      </w:r>
      <w:proofErr w:type="spellEnd"/>
    </w:p>
    <w:p w14:paraId="0AC5BC52" w14:textId="1F98B02A" w:rsidR="00005092" w:rsidRPr="00E57756" w:rsidRDefault="00E57756" w:rsidP="00E577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bookmarkStart w:id="7" w:name="_Hlk148438790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="00A8666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="00005092"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BA08013" w14:textId="735F618B" w:rsidR="00005092" w:rsidRPr="00E57756" w:rsidRDefault="00005092" w:rsidP="00E5775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 особами</w:t>
      </w:r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36B5F333" w14:textId="3019D298" w:rsidR="00005092" w:rsidRPr="00E57756" w:rsidRDefault="00005092" w:rsidP="00E5775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</w:t>
      </w:r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жінками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780FC05" w14:textId="5F2453C2" w:rsidR="00005092" w:rsidRPr="00F179E4" w:rsidRDefault="00005092" w:rsidP="000050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Яким чином (за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якими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="00E57756" w:rsidRPr="00E577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самоконтроль при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E577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спорту.</w:t>
      </w:r>
    </w:p>
    <w:bookmarkEnd w:id="7"/>
    <w:p w14:paraId="6A5126B4" w14:textId="77777777" w:rsidR="00005092" w:rsidRDefault="00005092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611836" w14:textId="77777777" w:rsidR="00F179E4" w:rsidRDefault="00F179E4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81877F" w14:textId="77777777" w:rsidR="00F179E4" w:rsidRDefault="00F179E4" w:rsidP="0000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4A4923" w14:textId="77777777" w:rsidR="00154658" w:rsidRDefault="00154658"/>
    <w:sectPr w:rsidR="00154658" w:rsidSect="00E31856"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7B9"/>
    <w:multiLevelType w:val="hybridMultilevel"/>
    <w:tmpl w:val="451A8808"/>
    <w:lvl w:ilvl="0" w:tplc="54E8E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03EF8"/>
    <w:multiLevelType w:val="hybridMultilevel"/>
    <w:tmpl w:val="153C1C1C"/>
    <w:lvl w:ilvl="0" w:tplc="785AB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484D"/>
    <w:multiLevelType w:val="hybridMultilevel"/>
    <w:tmpl w:val="3A54311A"/>
    <w:lvl w:ilvl="0" w:tplc="96863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3252"/>
    <w:multiLevelType w:val="hybridMultilevel"/>
    <w:tmpl w:val="7B6C49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B4D"/>
    <w:multiLevelType w:val="hybridMultilevel"/>
    <w:tmpl w:val="23C8F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02DB1"/>
    <w:multiLevelType w:val="hybridMultilevel"/>
    <w:tmpl w:val="CB2CFB6C"/>
    <w:lvl w:ilvl="0" w:tplc="BCAA7004">
      <w:start w:val="1"/>
      <w:numFmt w:val="decimal"/>
      <w:lvlText w:val="%1)"/>
      <w:lvlJc w:val="left"/>
      <w:pPr>
        <w:ind w:left="737" w:hanging="37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131E7"/>
    <w:multiLevelType w:val="hybridMultilevel"/>
    <w:tmpl w:val="7068E1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31A32"/>
    <w:multiLevelType w:val="hybridMultilevel"/>
    <w:tmpl w:val="6A800C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796D"/>
    <w:multiLevelType w:val="hybridMultilevel"/>
    <w:tmpl w:val="477EFB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D1352"/>
    <w:multiLevelType w:val="hybridMultilevel"/>
    <w:tmpl w:val="C966F68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BF303D"/>
    <w:multiLevelType w:val="hybridMultilevel"/>
    <w:tmpl w:val="A042AC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A6C37"/>
    <w:multiLevelType w:val="hybridMultilevel"/>
    <w:tmpl w:val="793A0D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55121">
    <w:abstractNumId w:val="8"/>
  </w:num>
  <w:num w:numId="2" w16cid:durableId="123011158">
    <w:abstractNumId w:val="9"/>
  </w:num>
  <w:num w:numId="3" w16cid:durableId="389771737">
    <w:abstractNumId w:val="4"/>
  </w:num>
  <w:num w:numId="4" w16cid:durableId="868226131">
    <w:abstractNumId w:val="6"/>
  </w:num>
  <w:num w:numId="5" w16cid:durableId="1030451807">
    <w:abstractNumId w:val="11"/>
  </w:num>
  <w:num w:numId="6" w16cid:durableId="42145448">
    <w:abstractNumId w:val="5"/>
  </w:num>
  <w:num w:numId="7" w16cid:durableId="617642794">
    <w:abstractNumId w:val="3"/>
  </w:num>
  <w:num w:numId="8" w16cid:durableId="400180777">
    <w:abstractNumId w:val="2"/>
  </w:num>
  <w:num w:numId="9" w16cid:durableId="1154570711">
    <w:abstractNumId w:val="7"/>
  </w:num>
  <w:num w:numId="10" w16cid:durableId="179856141">
    <w:abstractNumId w:val="1"/>
  </w:num>
  <w:num w:numId="11" w16cid:durableId="1747535522">
    <w:abstractNumId w:val="10"/>
  </w:num>
  <w:num w:numId="12" w16cid:durableId="159246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92"/>
    <w:rsid w:val="00005092"/>
    <w:rsid w:val="000970EE"/>
    <w:rsid w:val="000A3784"/>
    <w:rsid w:val="000E0A59"/>
    <w:rsid w:val="00154658"/>
    <w:rsid w:val="0026111F"/>
    <w:rsid w:val="002E5999"/>
    <w:rsid w:val="0030515E"/>
    <w:rsid w:val="00465E14"/>
    <w:rsid w:val="005A38CA"/>
    <w:rsid w:val="005B6D08"/>
    <w:rsid w:val="005C741F"/>
    <w:rsid w:val="00626F42"/>
    <w:rsid w:val="00667D0D"/>
    <w:rsid w:val="00683FF9"/>
    <w:rsid w:val="007273D4"/>
    <w:rsid w:val="007D73DC"/>
    <w:rsid w:val="00916D58"/>
    <w:rsid w:val="009E4616"/>
    <w:rsid w:val="00A86660"/>
    <w:rsid w:val="00D44F03"/>
    <w:rsid w:val="00D73A02"/>
    <w:rsid w:val="00DC0405"/>
    <w:rsid w:val="00E038D8"/>
    <w:rsid w:val="00E57756"/>
    <w:rsid w:val="00F1087E"/>
    <w:rsid w:val="00F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BCB2"/>
  <w15:chartTrackingRefBased/>
  <w15:docId w15:val="{57AFBA3C-AED7-45F6-BC80-3B7929C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22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17</cp:revision>
  <dcterms:created xsi:type="dcterms:W3CDTF">2022-10-14T07:57:00Z</dcterms:created>
  <dcterms:modified xsi:type="dcterms:W3CDTF">2023-10-29T11:38:00Z</dcterms:modified>
</cp:coreProperties>
</file>