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CE4E5" w14:textId="77777777" w:rsidR="00151749" w:rsidRPr="00A23E69" w:rsidRDefault="00151749" w:rsidP="001517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Лекція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7.</w:t>
      </w:r>
    </w:p>
    <w:p w14:paraId="1C05D96B" w14:textId="77777777" w:rsidR="00151749" w:rsidRPr="00D02DE7" w:rsidRDefault="00151749" w:rsidP="0015174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D02DE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ТЕМА: </w:t>
      </w:r>
      <w:r w:rsidRPr="00D02DE7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МЕТОДИ ВИЗНАЧЕННЯ ФІЗИЧНОЇ ПРАЦЕЗДАТНОСТІ ТА АЕРОБНОЇ</w:t>
      </w:r>
      <w:r w:rsidRPr="00D02DE7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02DE7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ПРОДУКТИВНОСТІ</w:t>
      </w:r>
      <w:r w:rsidRPr="00D02DE7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14:paraId="2772A880" w14:textId="77777777" w:rsidR="00151749" w:rsidRDefault="00151749" w:rsidP="001517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План</w:t>
      </w:r>
    </w:p>
    <w:p w14:paraId="74B70D0A" w14:textId="77777777" w:rsidR="00151749" w:rsidRPr="00243A73" w:rsidRDefault="00151749" w:rsidP="00151749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Методи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працездатності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аеробної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продуктивності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</w:p>
    <w:p w14:paraId="2D7C30F8" w14:textId="77777777" w:rsidR="00151749" w:rsidRPr="006D4882" w:rsidRDefault="00151749" w:rsidP="00151749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D4882">
        <w:rPr>
          <w:rFonts w:ascii="Times New Roman" w:eastAsia="TimesNewRoman" w:hAnsi="Times New Roman" w:cs="Times New Roman"/>
          <w:color w:val="000000"/>
          <w:sz w:val="28"/>
          <w:szCs w:val="28"/>
        </w:rPr>
        <w:t>Методологія</w:t>
      </w:r>
      <w:proofErr w:type="spellEnd"/>
      <w:r w:rsidRPr="006D48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882">
        <w:rPr>
          <w:rFonts w:ascii="Times New Roman" w:eastAsia="TimesNewRoman" w:hAnsi="Times New Roman" w:cs="Times New Roman"/>
          <w:color w:val="000000"/>
          <w:sz w:val="28"/>
          <w:szCs w:val="28"/>
        </w:rPr>
        <w:t>оформлення</w:t>
      </w:r>
      <w:proofErr w:type="spellEnd"/>
      <w:r w:rsidRPr="006D48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882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загального</w:t>
      </w:r>
      <w:proofErr w:type="spellEnd"/>
      <w:r w:rsidRPr="006D48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882">
        <w:rPr>
          <w:rFonts w:ascii="Times New Roman" w:eastAsia="TimesNewRoman" w:hAnsi="Times New Roman" w:cs="Times New Roman"/>
          <w:color w:val="000000"/>
          <w:sz w:val="28"/>
          <w:szCs w:val="28"/>
        </w:rPr>
        <w:t>висновку</w:t>
      </w:r>
      <w:proofErr w:type="spellEnd"/>
      <w:r w:rsidRPr="006D48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</w:t>
      </w:r>
      <w:r w:rsidRPr="006D4882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48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результатами комплексного </w:t>
      </w:r>
      <w:proofErr w:type="spellStart"/>
      <w:r w:rsidRPr="006D4882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медичного</w:t>
      </w:r>
      <w:proofErr w:type="spellEnd"/>
      <w:r w:rsidRPr="006D48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882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</w:p>
    <w:p w14:paraId="106F6925" w14:textId="77777777" w:rsidR="00151749" w:rsidRPr="006D4882" w:rsidRDefault="00151749" w:rsidP="0015174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</w:p>
    <w:p w14:paraId="1D217C1F" w14:textId="77777777" w:rsidR="00151749" w:rsidRPr="00A07D91" w:rsidRDefault="00151749" w:rsidP="0015174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A0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Літератур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Pr="00A0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28A37646" w14:textId="77777777" w:rsidR="00151749" w:rsidRPr="00A07D91" w:rsidRDefault="00151749" w:rsidP="001517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E67FA8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1</w:t>
      </w:r>
      <w:r w:rsidRPr="00A07D91">
        <w:rPr>
          <w:rFonts w:ascii="TimesNewRoman" w:eastAsia="TimesNewRoman" w:hAnsi="TimesNewRoman,Bold" w:cs="TimesNewRoman"/>
          <w:color w:val="000000"/>
          <w:sz w:val="28"/>
          <w:szCs w:val="28"/>
        </w:rPr>
        <w:t xml:space="preserve">.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Абрамов В. В.,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Клапчук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В. В.,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Неханевич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О. Б. [та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ін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.]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Фізична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реабілітація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спортивна медицина: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підручник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студ.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вищих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мед.навч</w:t>
      </w:r>
      <w:proofErr w:type="spellEnd"/>
      <w:proofErr w:type="gram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закладів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; за ред. В. В. Абрамова</w:t>
      </w:r>
      <w:r w:rsidRPr="001459C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О. Л.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Смирнової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Дніпропетровськ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Журфонд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2014. </w:t>
      </w:r>
      <w:r w:rsidRPr="001459C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-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456 с.</w:t>
      </w:r>
    </w:p>
    <w:p w14:paraId="21FD1A12" w14:textId="77777777" w:rsidR="00151749" w:rsidRPr="00A07D91" w:rsidRDefault="00151749" w:rsidP="001517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2. Апанасенко Г. Л.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Ф</w:t>
      </w:r>
      <w:r w:rsidRPr="001459C8">
        <w:rPr>
          <w:rFonts w:ascii="Times New Roman" w:eastAsia="TimesNewRoman" w:hAnsi="Times New Roman" w:cs="Times New Roman"/>
          <w:color w:val="000000"/>
          <w:sz w:val="28"/>
          <w:szCs w:val="28"/>
        </w:rPr>
        <w:t>і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зич</w:t>
      </w:r>
      <w:r w:rsidRPr="001459C8">
        <w:rPr>
          <w:rFonts w:ascii="Times New Roman" w:eastAsia="TimesNewRoman" w:hAnsi="Times New Roman" w:cs="Times New Roman"/>
          <w:color w:val="000000"/>
          <w:sz w:val="28"/>
          <w:szCs w:val="28"/>
        </w:rPr>
        <w:t>ний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р</w:t>
      </w:r>
      <w:r w:rsidRPr="001459C8">
        <w:rPr>
          <w:rFonts w:ascii="Times New Roman" w:eastAsia="TimesNewRoman" w:hAnsi="Times New Roman" w:cs="Times New Roman"/>
          <w:color w:val="000000"/>
          <w:sz w:val="28"/>
          <w:szCs w:val="28"/>
        </w:rPr>
        <w:t>озвиток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д</w:t>
      </w:r>
      <w:r w:rsidRPr="001459C8">
        <w:rPr>
          <w:rFonts w:ascii="Times New Roman" w:eastAsia="TimesNewRoman" w:hAnsi="Times New Roman" w:cs="Times New Roman"/>
          <w:color w:val="000000"/>
          <w:sz w:val="28"/>
          <w:szCs w:val="28"/>
        </w:rPr>
        <w:t>і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тей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п</w:t>
      </w:r>
      <w:r w:rsidRPr="001459C8">
        <w:rPr>
          <w:rFonts w:ascii="Times New Roman" w:eastAsia="TimesNewRoman" w:hAnsi="Times New Roman" w:cs="Times New Roman"/>
          <w:color w:val="000000"/>
          <w:sz w:val="28"/>
          <w:szCs w:val="28"/>
        </w:rPr>
        <w:t>ілі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тк</w:t>
      </w:r>
      <w:r w:rsidRPr="001459C8">
        <w:rPr>
          <w:rFonts w:ascii="Times New Roman" w:eastAsia="TimesNewRoman" w:hAnsi="Times New Roman" w:cs="Times New Roman"/>
          <w:color w:val="000000"/>
          <w:sz w:val="28"/>
          <w:szCs w:val="28"/>
        </w:rPr>
        <w:t>і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в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Pr="001459C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К.: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1985.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80 с.</w:t>
      </w:r>
    </w:p>
    <w:p w14:paraId="05DDF8B0" w14:textId="77777777" w:rsidR="00151749" w:rsidRPr="00D251F9" w:rsidRDefault="00151749" w:rsidP="001517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3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Лутай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М. І.,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Дорогий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А. П.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Захворюваність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смертність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хвороб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кровообігу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Україні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// Нова медицина. 2002. № 3.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С. 18–21.</w:t>
      </w:r>
      <w:r w:rsidRPr="00A07D91">
        <w:rPr>
          <w:rFonts w:ascii="Times New Roman" w:eastAsia="TimesNewRoman" w:hAnsi="Times New Roman" w:cs="Times New Roman"/>
          <w:color w:val="FFFFFF"/>
          <w:sz w:val="28"/>
          <w:szCs w:val="28"/>
        </w:rPr>
        <w:t>33</w:t>
      </w:r>
    </w:p>
    <w:p w14:paraId="2F9A2ABD" w14:textId="77777777" w:rsidR="00151749" w:rsidRPr="00A07D91" w:rsidRDefault="00151749" w:rsidP="001517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4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Романчук О. П.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Лікарсько-педагогічний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контроль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оздоровчій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фізичній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культурі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Одеса, 2010.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205 с.</w:t>
      </w:r>
    </w:p>
    <w:p w14:paraId="48667458" w14:textId="77777777" w:rsidR="00151749" w:rsidRPr="00A07D91" w:rsidRDefault="00151749" w:rsidP="001517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5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Соколовський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В. С., Романова Н. О.,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Бондарєв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І. І. </w:t>
      </w:r>
      <w:proofErr w:type="spellStart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Лікарський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контроль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у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і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зич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н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у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</w:t>
      </w:r>
      <w:proofErr w:type="spellStart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ихованні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і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і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. Одеса, 2001.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-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93 с.</w:t>
      </w:r>
    </w:p>
    <w:p w14:paraId="1D8A2C16" w14:textId="77777777" w:rsidR="00151749" w:rsidRPr="00FE1314" w:rsidRDefault="00151749" w:rsidP="001517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6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Шаповалова </w:t>
      </w:r>
      <w:proofErr w:type="gram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В.А.</w:t>
      </w:r>
      <w:proofErr w:type="gram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Спортивна медицина і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фізична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реабілітація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К.: Медицина, 2008.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-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248 с</w:t>
      </w:r>
    </w:p>
    <w:p w14:paraId="58CA12D8" w14:textId="77777777" w:rsidR="00151749" w:rsidRDefault="00151749" w:rsidP="00151749"/>
    <w:p w14:paraId="5B41D3EA" w14:textId="77777777" w:rsidR="00151749" w:rsidRPr="00FE1314" w:rsidRDefault="00151749" w:rsidP="00151749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Методи</w:t>
      </w:r>
      <w:proofErr w:type="spellEnd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визначення</w:t>
      </w:r>
      <w:proofErr w:type="spellEnd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фізичної</w:t>
      </w:r>
      <w:proofErr w:type="spellEnd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працездатності</w:t>
      </w:r>
      <w:proofErr w:type="spellEnd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та </w:t>
      </w:r>
      <w:proofErr w:type="spellStart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аеробної</w:t>
      </w:r>
      <w:proofErr w:type="spellEnd"/>
    </w:p>
    <w:p w14:paraId="076BA3FC" w14:textId="77777777" w:rsidR="00151749" w:rsidRPr="007211A8" w:rsidRDefault="00151749" w:rsidP="001517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7211A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</w:t>
      </w:r>
      <w:r w:rsidRPr="00E969CF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родуктивності</w:t>
      </w:r>
      <w:proofErr w:type="spellEnd"/>
      <w:r w:rsidRPr="007211A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</w:p>
    <w:p w14:paraId="477EA435" w14:textId="77777777" w:rsidR="00151749" w:rsidRPr="00E969CF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243A73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Фізична</w:t>
      </w:r>
      <w:proofErr w:type="spellEnd"/>
      <w:r w:rsidRPr="00243A73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243A73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працездатність</w:t>
      </w:r>
      <w:proofErr w:type="spellEnd"/>
      <w:r w:rsidRPr="00E969CF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– є таким параметром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</w:t>
      </w:r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який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відбиває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її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потенційну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здатність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проявляти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максимум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зусилля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статичній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динамічній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змішаній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фізичній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роботі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606E5ECB" w14:textId="77777777" w:rsidR="00151749" w:rsidRPr="00E969CF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lastRenderedPageBreak/>
        <w:t>Фізична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працездатність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є 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інтегративним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параметром 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прояву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функціональних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можливостей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людини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, 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зіставляє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суттєву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складову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поняття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її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фізичного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здоров’я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і 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залежить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від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цілої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низки 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об’єктивних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факторів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. До 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цих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факторів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належать: 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будова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тіла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і 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антропометричні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показники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; 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потужність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та 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ефективність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механізмів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енергопродукції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аеробним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і 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анаеробним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шляхом; сила і 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витривалість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м’язів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, нейро-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м’язова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координація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; характер 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функціонування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опорно-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рухового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апарату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; 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нейроімуноендокринна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регуляція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як 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процесів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енергоутворення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, так і 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використання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наявного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в 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організмі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ресурсного 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адаптаційного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потенціалу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; 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психофізичний</w:t>
      </w:r>
      <w:proofErr w:type="spellEnd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стан </w:t>
      </w:r>
      <w:proofErr w:type="spellStart"/>
      <w:r w:rsidRPr="00746F02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індивіда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Даний параметр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віддзеркалює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функціональний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багатьох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фізіологічних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систем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але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застосовують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насамперед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кардіо-респіраторної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енергозабезпечення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мається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увазі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загальна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фізична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працездатність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особи.</w:t>
      </w:r>
    </w:p>
    <w:p w14:paraId="05376DE9" w14:textId="54F25669" w:rsidR="00151749" w:rsidRPr="00E969CF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823D8D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Аеробна</w:t>
      </w:r>
      <w:proofErr w:type="spellEnd"/>
      <w:r w:rsidRPr="00823D8D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823D8D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продуктивність</w:t>
      </w:r>
      <w:proofErr w:type="spellEnd"/>
      <w:r w:rsidRPr="00E969CF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характеризує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здатність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823D8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споживати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засвоювати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кисень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навколишнього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повітря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вона</w:t>
      </w:r>
      <w:r w:rsidRPr="00823D8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D8D">
        <w:rPr>
          <w:rFonts w:ascii="Times New Roman" w:eastAsia="TimesNewRoman" w:hAnsi="Times New Roman" w:cs="Times New Roman"/>
          <w:color w:val="000000"/>
          <w:sz w:val="28"/>
          <w:szCs w:val="28"/>
        </w:rPr>
        <w:t>істотно</w:t>
      </w:r>
      <w:proofErr w:type="spellEnd"/>
      <w:r w:rsidRPr="00823D8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D8D">
        <w:rPr>
          <w:rFonts w:ascii="Times New Roman" w:eastAsia="TimesNewRoman" w:hAnsi="Times New Roman" w:cs="Times New Roman"/>
          <w:color w:val="000000"/>
          <w:sz w:val="28"/>
          <w:szCs w:val="28"/>
        </w:rPr>
        <w:t>лімітує</w:t>
      </w:r>
      <w:proofErr w:type="spellEnd"/>
      <w:r w:rsidRPr="00823D8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D8D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фізичну</w:t>
      </w:r>
      <w:proofErr w:type="spellEnd"/>
      <w:r w:rsidRPr="00823D8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D8D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працездатність</w:t>
      </w:r>
      <w:proofErr w:type="spellEnd"/>
      <w:r w:rsidRPr="00823D8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особи. </w:t>
      </w:r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Одним з </w:t>
      </w:r>
      <w:proofErr w:type="spellStart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основних</w:t>
      </w:r>
      <w:proofErr w:type="spellEnd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показників</w:t>
      </w:r>
      <w:proofErr w:type="spellEnd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аеробної</w:t>
      </w:r>
      <w:proofErr w:type="spellEnd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продуктивності</w:t>
      </w:r>
      <w:proofErr w:type="spellEnd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є </w:t>
      </w:r>
      <w:proofErr w:type="spellStart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максимальне</w:t>
      </w:r>
      <w:proofErr w:type="spellEnd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споживання</w:t>
      </w:r>
      <w:proofErr w:type="spellEnd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кисню</w:t>
      </w:r>
      <w:proofErr w:type="spellEnd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(МСК)</w:t>
      </w:r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найбільша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кількість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кисню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яку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людина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здатна</w:t>
      </w:r>
      <w:proofErr w:type="spellEnd"/>
      <w:r w:rsidRPr="00823D8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споживати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1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при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інтенсивній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м’язової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роботі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. МСК</w:t>
      </w:r>
      <w:r w:rsidRPr="00905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59ED">
        <w:rPr>
          <w:rFonts w:ascii="Times New Roman" w:eastAsia="TimesNewRoman" w:hAnsi="Times New Roman" w:cs="Times New Roman"/>
          <w:color w:val="000000"/>
          <w:sz w:val="28"/>
          <w:szCs w:val="28"/>
        </w:rPr>
        <w:t>п</w:t>
      </w:r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редставляє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собою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важливий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функціональний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який</w:t>
      </w:r>
      <w:proofErr w:type="spellEnd"/>
      <w:r w:rsidRPr="00905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відображає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здатність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забезпечувати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велику потребу тканин</w:t>
      </w:r>
      <w:r w:rsidRPr="00905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кисні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найбільшій</w:t>
      </w:r>
      <w:proofErr w:type="spellEnd"/>
      <w:r w:rsidRPr="00905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активізації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основних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систем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життєзабезпечення</w:t>
      </w:r>
      <w:proofErr w:type="spellEnd"/>
      <w:r w:rsidRPr="00905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Чим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більша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здатність</w:t>
      </w:r>
      <w:proofErr w:type="spellEnd"/>
      <w:r w:rsidRPr="00905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використовувати</w:t>
      </w:r>
      <w:proofErr w:type="spellEnd"/>
      <w:r w:rsidRPr="00905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кисень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тим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вищі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функціональні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й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адаптаційні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можливості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, та,</w:t>
      </w:r>
      <w:r w:rsidRPr="00905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психофізичного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відомо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</w:t>
      </w:r>
      <w:proofErr w:type="spellEnd"/>
      <w:r w:rsidRPr="00905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МCК є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генетично-детермінованою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ознакою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індивіда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забезпечує</w:t>
      </w:r>
      <w:proofErr w:type="spellEnd"/>
      <w:r w:rsidRPr="00905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психомоторні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якості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 та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віком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статтю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й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статурою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3A804728" w14:textId="77777777" w:rsidR="00151749" w:rsidRPr="00E969CF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Хлопчики і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дівчатка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раннього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дитячого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значеннями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показника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МСК не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розрізняються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У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підлітковому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віці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цей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більший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хлопчиків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ніж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дівчат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Найвищий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МСК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спостерігається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дівчат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віком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14-16</w:t>
      </w:r>
      <w:proofErr w:type="gram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років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 xml:space="preserve">і у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юнаків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‒ 18-20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років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У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дитинстві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приріст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споживання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кисню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йде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паралельно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із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збільшенням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маси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довжини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Зниження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МСК у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починається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gram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25-30</w:t>
      </w:r>
      <w:proofErr w:type="gram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-років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в 65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років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цей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зменшується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приблизно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одну третину.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МСК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частіше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змінюється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50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років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потім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зменшується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аналогічним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чином. На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МСК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впливають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зміни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навколишнього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середовища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(температура,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вологість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й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відхилення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66369641" w14:textId="77777777" w:rsidR="00151749" w:rsidRPr="00E969CF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тренування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по-різному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впливають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зростання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показника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МСК у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спортсменів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Відносний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приріст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МСК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визначають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приймаючи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уваги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перш за все,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відпочатковий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, режим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спрямованість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тренувального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процесу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особливості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тих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інших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якостей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особи. Чим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вищим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відпочатковий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МСК,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тим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нижчим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буде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можливий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приріст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спортсмена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процесі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тренування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В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залежності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отриманих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вже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якостей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режиму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тренувань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приріст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МСК за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середніми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даними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складає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40%, а за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індивідуальними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результатами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зіставляти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100%.</w:t>
      </w:r>
    </w:p>
    <w:p w14:paraId="572F3BD1" w14:textId="77777777" w:rsidR="00151749" w:rsidRPr="00E969CF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спортсменів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одного спортивного сезону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коливання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значень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показника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МСК,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зазвичай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не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перевищують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15%.</w:t>
      </w:r>
    </w:p>
    <w:p w14:paraId="4A169299" w14:textId="77777777" w:rsidR="00151749" w:rsidRPr="00E969CF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цього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показника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фізіологічній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клінічній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практиці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особливо велике і тому широкого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набули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методи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прямого та непрямого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5F02D0F8" w14:textId="77777777" w:rsidR="00151749" w:rsidRPr="009059ED" w:rsidRDefault="00151749" w:rsidP="00151749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FFFFFF"/>
          <w:sz w:val="28"/>
          <w:szCs w:val="28"/>
        </w:rPr>
      </w:pPr>
      <w:proofErr w:type="spellStart"/>
      <w:r w:rsidRPr="009059E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Дослідження</w:t>
      </w:r>
      <w:proofErr w:type="spellEnd"/>
      <w:r w:rsidRPr="00905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059E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МСК </w:t>
      </w:r>
      <w:proofErr w:type="spellStart"/>
      <w:r w:rsidRPr="009059ED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прямими</w:t>
      </w:r>
      <w:proofErr w:type="spellEnd"/>
      <w:r w:rsidRPr="009059ED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05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методами </w:t>
      </w:r>
      <w:proofErr w:type="spellStart"/>
      <w:r w:rsidRPr="009059ED">
        <w:rPr>
          <w:rFonts w:ascii="Times New Roman" w:eastAsia="TimesNewRoman" w:hAnsi="Times New Roman" w:cs="Times New Roman"/>
          <w:color w:val="000000"/>
          <w:sz w:val="28"/>
          <w:szCs w:val="28"/>
        </w:rPr>
        <w:t>ґ</w:t>
      </w:r>
      <w:r w:rsidRPr="009059ED">
        <w:rPr>
          <w:rFonts w:ascii="Times New Roman" w:eastAsia="Yu Gothic" w:hAnsi="Times New Roman" w:cs="Times New Roman"/>
          <w:color w:val="000000"/>
          <w:sz w:val="28"/>
          <w:szCs w:val="28"/>
        </w:rPr>
        <w:t>рунтується</w:t>
      </w:r>
      <w:proofErr w:type="spellEnd"/>
      <w:r w:rsidRPr="00905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9059ED">
        <w:rPr>
          <w:rFonts w:ascii="Times New Roman" w:eastAsia="TimesNewRoman" w:hAnsi="Times New Roman" w:cs="Times New Roman"/>
          <w:color w:val="000000"/>
          <w:sz w:val="28"/>
          <w:szCs w:val="28"/>
        </w:rPr>
        <w:t>аналізі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059ED">
        <w:rPr>
          <w:rFonts w:ascii="Times New Roman" w:eastAsia="TimesNewRoman" w:hAnsi="Times New Roman" w:cs="Times New Roman"/>
          <w:color w:val="000000"/>
          <w:sz w:val="28"/>
          <w:szCs w:val="28"/>
        </w:rPr>
        <w:t>повітря</w:t>
      </w:r>
      <w:proofErr w:type="spellEnd"/>
      <w:r w:rsidRPr="00905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яке </w:t>
      </w:r>
      <w:proofErr w:type="spellStart"/>
      <w:r w:rsidRPr="009059ED">
        <w:rPr>
          <w:rFonts w:ascii="Times New Roman" w:eastAsia="TimesNewRoman" w:hAnsi="Times New Roman" w:cs="Times New Roman"/>
          <w:color w:val="000000"/>
          <w:sz w:val="28"/>
          <w:szCs w:val="28"/>
        </w:rPr>
        <w:t>видих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а</w:t>
      </w:r>
      <w:r w:rsidRPr="00905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є особа за </w:t>
      </w:r>
      <w:proofErr w:type="spellStart"/>
      <w:r w:rsidRPr="009059ED">
        <w:rPr>
          <w:rFonts w:ascii="Times New Roman" w:eastAsia="TimesNewRoman" w:hAnsi="Times New Roman" w:cs="Times New Roman"/>
          <w:color w:val="000000"/>
          <w:sz w:val="28"/>
          <w:szCs w:val="28"/>
        </w:rPr>
        <w:t>допомогою</w:t>
      </w:r>
      <w:proofErr w:type="spellEnd"/>
      <w:r w:rsidRPr="00905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59ED">
        <w:rPr>
          <w:rFonts w:ascii="Times New Roman" w:eastAsia="TimesNewRoman" w:hAnsi="Times New Roman" w:cs="Times New Roman"/>
          <w:color w:val="000000"/>
          <w:sz w:val="28"/>
          <w:szCs w:val="28"/>
        </w:rPr>
        <w:t>газоаналізаторів</w:t>
      </w:r>
      <w:proofErr w:type="spellEnd"/>
      <w:r w:rsidRPr="00905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9059ED">
        <w:rPr>
          <w:rFonts w:ascii="Times New Roman" w:eastAsia="TimesNewRoman" w:hAnsi="Times New Roman" w:cs="Times New Roman"/>
          <w:color w:val="000000"/>
          <w:sz w:val="28"/>
          <w:szCs w:val="28"/>
        </w:rPr>
        <w:t>такі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методи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передбачають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спортсменом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максимальних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A17AEB0" w14:textId="77777777" w:rsidR="00151749" w:rsidRPr="00E969CF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9059ED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Непрямі</w:t>
      </w:r>
      <w:proofErr w:type="spellEnd"/>
      <w:r w:rsidRPr="009059ED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9059E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методи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МСК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засновані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існуючій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лінійній</w:t>
      </w:r>
      <w:proofErr w:type="spellEnd"/>
      <w:r w:rsidRPr="00905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залежності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між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потужністю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ЧСС</w:t>
      </w:r>
      <w:r w:rsidRPr="00905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споживанням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кисню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вони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передбачають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спортсменом</w:t>
      </w:r>
      <w:r w:rsidRPr="00905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субмаксимальних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за результатами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яких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МСК</w:t>
      </w:r>
      <w:r w:rsidRPr="009059E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встановлюють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допомогою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розрахунків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графіків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таблиць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9953B54" w14:textId="77777777" w:rsidR="00151749" w:rsidRPr="008205AB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8205A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Фізична</w:t>
      </w:r>
      <w:proofErr w:type="spellEnd"/>
      <w:r w:rsidRPr="008205A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8205A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працездатність</w:t>
      </w:r>
      <w:proofErr w:type="spellEnd"/>
      <w:r w:rsidRPr="008205A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і </w:t>
      </w:r>
      <w:proofErr w:type="spellStart"/>
      <w:r w:rsidRPr="008205A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аеробна</w:t>
      </w:r>
      <w:proofErr w:type="spellEnd"/>
      <w:r w:rsidRPr="008205A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8205A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продуктивність</w:t>
      </w:r>
      <w:proofErr w:type="spellEnd"/>
      <w:r w:rsidRPr="008205A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– </w:t>
      </w:r>
      <w:proofErr w:type="spellStart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це</w:t>
      </w:r>
      <w:proofErr w:type="spellEnd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кількісні</w:t>
      </w:r>
      <w:proofErr w:type="spellEnd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функціональні</w:t>
      </w:r>
      <w:proofErr w:type="spellEnd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показники</w:t>
      </w:r>
      <w:proofErr w:type="spellEnd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які</w:t>
      </w:r>
      <w:proofErr w:type="spellEnd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визначаються</w:t>
      </w:r>
      <w:proofErr w:type="spellEnd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за </w:t>
      </w:r>
      <w:proofErr w:type="spellStart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допомогою</w:t>
      </w:r>
      <w:proofErr w:type="spellEnd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функціональних</w:t>
      </w:r>
      <w:proofErr w:type="spellEnd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проб на </w:t>
      </w:r>
      <w:proofErr w:type="spellStart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зусилля</w:t>
      </w:r>
      <w:proofErr w:type="spellEnd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– </w:t>
      </w:r>
      <w:proofErr w:type="spellStart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навантажувальних</w:t>
      </w:r>
      <w:proofErr w:type="spellEnd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тестів</w:t>
      </w:r>
      <w:proofErr w:type="spellEnd"/>
      <w:r w:rsidRPr="00820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</w:p>
    <w:p w14:paraId="7D11D17D" w14:textId="77777777" w:rsidR="00151749" w:rsidRPr="00E969CF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19319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Навантаження</w:t>
      </w:r>
      <w:proofErr w:type="spellEnd"/>
      <w:r w:rsidRPr="00E969CF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ініціює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фізіологічний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стрес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організмі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19319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тому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здатні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виявити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щонайменші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порушення</w:t>
      </w:r>
      <w:proofErr w:type="spellEnd"/>
      <w:r w:rsidRPr="0019319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боку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дихальної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систем,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неможливо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виявити</w:t>
      </w:r>
      <w:proofErr w:type="spellEnd"/>
      <w:r w:rsidRPr="0019319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спокої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саме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тому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навантажувальні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тести широко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використовують</w:t>
      </w:r>
      <w:proofErr w:type="spellEnd"/>
      <w:r w:rsidRPr="0019319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ранньої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діагностики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зниження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дефіцітарності</w:t>
      </w:r>
      <w:proofErr w:type="spellEnd"/>
      <w:r w:rsidRPr="0019319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резервів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для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своєчасного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виявлення</w:t>
      </w:r>
      <w:proofErr w:type="spellEnd"/>
      <w:r w:rsidRPr="0019319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прихованої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патології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2F9EAFA8" w14:textId="77777777" w:rsidR="00151749" w:rsidRPr="00F804A4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Навантажувальне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тестування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досить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серйозною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випробувальною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процедурою для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оскільки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передбачає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достатньо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інтенсивних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Саме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тому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цих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</w:t>
      </w:r>
      <w:r w:rsidRPr="0019319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вимагає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проведенні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медико-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педагогічного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контролю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дотримання</w:t>
      </w:r>
      <w:proofErr w:type="spellEnd"/>
      <w:r w:rsidRPr="0019319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певних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показань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протипоказань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спеціальної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підготовки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персоналу,</w:t>
      </w:r>
      <w:r w:rsidRPr="0019319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відповідного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обладнання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кабінету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чіткого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правил</w:t>
      </w:r>
      <w:r w:rsidRPr="0019319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умов для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безпеки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тестування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отримання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вірогідної</w:t>
      </w:r>
      <w:proofErr w:type="spellEnd"/>
      <w:r w:rsidRPr="0019319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інформації</w:t>
      </w:r>
      <w:proofErr w:type="spellEnd"/>
      <w:r w:rsidRPr="00E969CF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766AE9E4" w14:textId="77777777" w:rsidR="00151749" w:rsidRPr="00151749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Для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визначення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фізичної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працездатності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використовують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два</w:t>
      </w:r>
      <w:r w:rsidRPr="00151749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класи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навантажувальних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тестів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: </w:t>
      </w:r>
      <w:proofErr w:type="spellStart"/>
      <w:r w:rsidRPr="00151749">
        <w:rPr>
          <w:rFonts w:ascii="Times New Roman" w:eastAsia="TimesNewRoman,Italic" w:hAnsi="Times New Roman" w:cs="Times New Roman"/>
          <w:b/>
          <w:bCs/>
          <w:i/>
          <w:iCs/>
          <w:sz w:val="28"/>
          <w:szCs w:val="28"/>
        </w:rPr>
        <w:t>максимальні</w:t>
      </w:r>
      <w:proofErr w:type="spellEnd"/>
      <w:r w:rsidRPr="00151749">
        <w:rPr>
          <w:rFonts w:ascii="Times New Roman" w:eastAsia="TimesNewRoman,Italic" w:hAnsi="Times New Roman" w:cs="Times New Roman"/>
          <w:b/>
          <w:bCs/>
          <w:i/>
          <w:iCs/>
          <w:sz w:val="28"/>
          <w:szCs w:val="28"/>
        </w:rPr>
        <w:t xml:space="preserve"> і </w:t>
      </w:r>
      <w:proofErr w:type="spellStart"/>
      <w:r w:rsidRPr="00151749">
        <w:rPr>
          <w:rFonts w:ascii="Times New Roman" w:eastAsia="TimesNewRoman,Italic" w:hAnsi="Times New Roman" w:cs="Times New Roman"/>
          <w:b/>
          <w:bCs/>
          <w:i/>
          <w:iCs/>
          <w:sz w:val="28"/>
          <w:szCs w:val="28"/>
        </w:rPr>
        <w:t>субмаксимальні</w:t>
      </w:r>
      <w:proofErr w:type="spellEnd"/>
      <w:r w:rsidRPr="00151749">
        <w:rPr>
          <w:rFonts w:ascii="Times New Roman" w:eastAsia="TimesNewRoman,Italic" w:hAnsi="Times New Roman" w:cs="Times New Roman"/>
          <w:i/>
          <w:iCs/>
          <w:sz w:val="28"/>
          <w:szCs w:val="28"/>
        </w:rPr>
        <w:t>.</w:t>
      </w:r>
    </w:p>
    <w:p w14:paraId="7E9BBB32" w14:textId="77777777" w:rsidR="00151749" w:rsidRPr="00151749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>максимальних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відносяться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ті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тести,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які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спрямовані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на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визначення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граничних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можливостей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організму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.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Наприклад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визначення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</w:t>
      </w:r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максимального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споживання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кисню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(</w:t>
      </w:r>
      <w:proofErr w:type="gramStart"/>
      <w:r w:rsidRPr="00151749">
        <w:rPr>
          <w:rFonts w:ascii="Times New Roman" w:eastAsia="TimesNewRoman" w:hAnsi="Times New Roman" w:cs="Times New Roman"/>
          <w:sz w:val="28"/>
          <w:szCs w:val="28"/>
        </w:rPr>
        <w:t>МСК )</w:t>
      </w:r>
      <w:proofErr w:type="gram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за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умови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максимального</w:t>
      </w:r>
      <w:r w:rsidRPr="00151749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фізичного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навантаження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>.</w:t>
      </w:r>
    </w:p>
    <w:p w14:paraId="3769789B" w14:textId="77777777" w:rsidR="00151749" w:rsidRPr="00151749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Найпоширеніша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методика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визначення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МСК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передбачає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виконання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послідовно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фізичних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навантажень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що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збільшуються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за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потужністю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, вони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продовжуються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gramStart"/>
      <w:r w:rsidRPr="00151749">
        <w:rPr>
          <w:rFonts w:ascii="Times New Roman" w:eastAsia="TimesNewRoman" w:hAnsi="Times New Roman" w:cs="Times New Roman"/>
          <w:sz w:val="28"/>
          <w:szCs w:val="28"/>
        </w:rPr>
        <w:t>до моменту</w:t>
      </w:r>
      <w:proofErr w:type="gram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, коли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досліджуваний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вже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не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взмозі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виконувати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м'язову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фізичну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роботу. На кожному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рівні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фізичного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навантаження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у особи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забирають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повітря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  <w:lang w:val="ru-RU"/>
        </w:rPr>
        <w:t>що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ним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  <w:lang w:val="ru-RU"/>
        </w:rPr>
        <w:t>видихається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  <w:lang w:val="ru-RU"/>
        </w:rPr>
        <w:t>,</w:t>
      </w:r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для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визначення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кількості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спожитого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кисню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>.</w:t>
      </w:r>
    </w:p>
    <w:p w14:paraId="6444AD7F" w14:textId="77777777" w:rsidR="00151749" w:rsidRPr="00151749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При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виконанні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відносно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помірних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фізичних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навантажень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споживання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кисню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у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людини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прямо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пропорційне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потужності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виконаної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роботи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>.</w:t>
      </w:r>
    </w:p>
    <w:p w14:paraId="39C0BD26" w14:textId="77777777" w:rsidR="00151749" w:rsidRPr="00151749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51749">
        <w:rPr>
          <w:rFonts w:ascii="Times New Roman" w:eastAsia="TimesNewRoman" w:hAnsi="Times New Roman" w:cs="Times New Roman"/>
          <w:sz w:val="28"/>
          <w:szCs w:val="28"/>
        </w:rPr>
        <w:lastRenderedPageBreak/>
        <w:t xml:space="preserve">При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навантаженнях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що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наближаються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до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максимальних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споживання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кисню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усе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більше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уповільнюється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, і,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нарешті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наступає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момент, коли</w:t>
      </w:r>
      <w:r w:rsidRPr="00151749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</w:t>
      </w:r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подальше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збільшення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потужності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фізичного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навантаження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</w:t>
      </w:r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не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призводить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до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підвищення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споживання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кисню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.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Тоді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на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графіку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залежності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споживання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кисню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від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потужності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фізичного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навантаження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утвориться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плато, яке і є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критерієм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досягнення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особою</w:t>
      </w:r>
      <w:r w:rsidRPr="00151749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</w:t>
      </w:r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максимального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споживання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кисню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(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киснева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«стеля»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даної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людини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>).</w:t>
      </w:r>
    </w:p>
    <w:p w14:paraId="322536BE" w14:textId="77777777" w:rsidR="00151749" w:rsidRPr="00151749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>Фізичне</w:t>
      </w:r>
      <w:proofErr w:type="spellEnd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>навантаження</w:t>
      </w:r>
      <w:proofErr w:type="spellEnd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, при </w:t>
      </w:r>
      <w:proofErr w:type="spellStart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>якому</w:t>
      </w:r>
      <w:proofErr w:type="spellEnd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>вперше</w:t>
      </w:r>
      <w:proofErr w:type="spellEnd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>відзначається</w:t>
      </w:r>
      <w:proofErr w:type="spellEnd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>максимальне</w:t>
      </w:r>
      <w:proofErr w:type="spellEnd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>споживання</w:t>
      </w:r>
      <w:proofErr w:type="spellEnd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>кисню</w:t>
      </w:r>
      <w:proofErr w:type="spellEnd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>людиною</w:t>
      </w:r>
      <w:proofErr w:type="spellEnd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>позначається</w:t>
      </w:r>
      <w:proofErr w:type="spellEnd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 як </w:t>
      </w:r>
      <w:proofErr w:type="spellStart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>фізична</w:t>
      </w:r>
      <w:proofErr w:type="spellEnd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 робота</w:t>
      </w:r>
      <w:r w:rsidRPr="00151749">
        <w:rPr>
          <w:rFonts w:ascii="Times New Roman" w:eastAsia="TimesNew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>критичної</w:t>
      </w:r>
      <w:proofErr w:type="spellEnd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>потужності</w:t>
      </w:r>
      <w:proofErr w:type="spellEnd"/>
      <w:r w:rsidRPr="00151749">
        <w:rPr>
          <w:rFonts w:ascii="Times New Roman" w:eastAsia="TimesNewRoman" w:hAnsi="Times New Roman" w:cs="Times New Roman"/>
          <w:b/>
          <w:bCs/>
          <w:sz w:val="28"/>
          <w:szCs w:val="28"/>
        </w:rPr>
        <w:t>.</w:t>
      </w:r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Процедура такого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дослідження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з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використанням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</w:t>
      </w:r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максимального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класу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фізичного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навантаження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досить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складна, для</w:t>
      </w:r>
      <w:r w:rsidRPr="00151749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її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реалізації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необхідна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спеціальна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апаратура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(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газоаналізатори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газовий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лічильник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, система забору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повітря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  <w:lang w:val="ru-RU"/>
        </w:rPr>
        <w:t>видихається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) і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підготовка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кваліфікованого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персоналу. А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від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так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запропоновано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способи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визначення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</w:t>
      </w:r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МСК,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які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дозволяють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обчислювати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цей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важливий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показник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непрямим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</w:t>
      </w:r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шляхом при </w:t>
      </w:r>
      <w:proofErr w:type="spellStart"/>
      <w:r w:rsidRPr="00151749">
        <w:rPr>
          <w:rFonts w:ascii="Times New Roman" w:eastAsia="TimesNewRoman" w:hAnsi="Times New Roman" w:cs="Times New Roman"/>
          <w:sz w:val="28"/>
          <w:szCs w:val="28"/>
        </w:rPr>
        <w:t>застосуванні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,Italic" w:hAnsi="Times New Roman" w:cs="Times New Roman"/>
          <w:b/>
          <w:bCs/>
          <w:i/>
          <w:iCs/>
          <w:sz w:val="28"/>
          <w:szCs w:val="28"/>
        </w:rPr>
        <w:t>суб</w:t>
      </w:r>
      <w:r w:rsidRPr="00151749">
        <w:rPr>
          <w:rFonts w:ascii="Times New Roman" w:eastAsia="TimesNewRoman,Italic" w:hAnsi="Times New Roman" w:cs="Times New Roman"/>
          <w:b/>
          <w:bCs/>
          <w:i/>
          <w:iCs/>
          <w:sz w:val="28"/>
          <w:szCs w:val="28"/>
          <w:lang w:val="ru-RU"/>
        </w:rPr>
        <w:t>ма</w:t>
      </w:r>
      <w:r w:rsidRPr="00151749">
        <w:rPr>
          <w:rFonts w:ascii="Times New Roman" w:eastAsia="TimesNewRoman,Italic" w:hAnsi="Times New Roman" w:cs="Times New Roman"/>
          <w:b/>
          <w:bCs/>
          <w:i/>
          <w:iCs/>
          <w:sz w:val="28"/>
          <w:szCs w:val="28"/>
        </w:rPr>
        <w:t>ксимального</w:t>
      </w:r>
      <w:proofErr w:type="spellEnd"/>
      <w:r w:rsidRPr="00151749">
        <w:rPr>
          <w:rFonts w:ascii="Times New Roman" w:eastAsia="TimesNewRoman,Italic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фізичного</w:t>
      </w:r>
      <w:proofErr w:type="spellEnd"/>
      <w:r w:rsidRPr="00151749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51749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навантаження</w:t>
      </w:r>
      <w:proofErr w:type="spellEnd"/>
      <w:r w:rsidRPr="00151749">
        <w:rPr>
          <w:rFonts w:ascii="Times New Roman" w:eastAsia="TimesNewRoman" w:hAnsi="Times New Roman" w:cs="Times New Roman"/>
          <w:sz w:val="28"/>
          <w:szCs w:val="28"/>
        </w:rPr>
        <w:t>.</w:t>
      </w:r>
    </w:p>
    <w:p w14:paraId="0FEB1F0F" w14:textId="77777777" w:rsidR="00151749" w:rsidRPr="008002B0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8002B0">
        <w:rPr>
          <w:rFonts w:ascii="Times New Roman" w:eastAsia="TimesNewRoman" w:hAnsi="Times New Roman" w:cs="Times New Roman"/>
          <w:sz w:val="28"/>
          <w:szCs w:val="28"/>
        </w:rPr>
        <w:t>Найбільш</w:t>
      </w:r>
      <w:proofErr w:type="spellEnd"/>
      <w:r w:rsidRPr="008002B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002B0">
        <w:rPr>
          <w:rFonts w:ascii="Times New Roman" w:eastAsia="TimesNewRoman" w:hAnsi="Times New Roman" w:cs="Times New Roman"/>
          <w:sz w:val="28"/>
          <w:szCs w:val="28"/>
        </w:rPr>
        <w:t>інформативним</w:t>
      </w:r>
      <w:proofErr w:type="spellEnd"/>
      <w:r w:rsidRPr="008002B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002B0">
        <w:rPr>
          <w:rFonts w:ascii="Times New Roman" w:eastAsia="TimesNewRoman" w:hAnsi="Times New Roman" w:cs="Times New Roman"/>
          <w:sz w:val="28"/>
          <w:szCs w:val="28"/>
        </w:rPr>
        <w:t>субмаксимальним</w:t>
      </w:r>
      <w:proofErr w:type="spellEnd"/>
      <w:r w:rsidRPr="008002B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002B0">
        <w:rPr>
          <w:rFonts w:ascii="Times New Roman" w:eastAsia="TimesNewRoman" w:hAnsi="Times New Roman" w:cs="Times New Roman"/>
          <w:sz w:val="28"/>
          <w:szCs w:val="28"/>
        </w:rPr>
        <w:t>навантажувальним</w:t>
      </w:r>
      <w:proofErr w:type="spellEnd"/>
      <w:r w:rsidRPr="008002B0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</w:t>
      </w:r>
      <w:r w:rsidRPr="008002B0">
        <w:rPr>
          <w:rFonts w:ascii="Times New Roman" w:eastAsia="TimesNewRoman" w:hAnsi="Times New Roman" w:cs="Times New Roman"/>
          <w:sz w:val="28"/>
          <w:szCs w:val="28"/>
        </w:rPr>
        <w:t xml:space="preserve">тестом </w:t>
      </w:r>
      <w:proofErr w:type="spellStart"/>
      <w:r w:rsidRPr="008002B0">
        <w:rPr>
          <w:rFonts w:ascii="Times New Roman" w:eastAsia="TimesNewRoman" w:hAnsi="Times New Roman" w:cs="Times New Roman"/>
          <w:sz w:val="28"/>
          <w:szCs w:val="28"/>
        </w:rPr>
        <w:t>вважається</w:t>
      </w:r>
      <w:proofErr w:type="spellEnd"/>
      <w:r w:rsidRPr="008002B0">
        <w:rPr>
          <w:rFonts w:ascii="Times New Roman" w:eastAsia="TimesNewRoman" w:hAnsi="Times New Roman" w:cs="Times New Roman"/>
          <w:sz w:val="28"/>
          <w:szCs w:val="28"/>
        </w:rPr>
        <w:t xml:space="preserve"> тест PWC170 і </w:t>
      </w:r>
      <w:proofErr w:type="spellStart"/>
      <w:r w:rsidRPr="008002B0">
        <w:rPr>
          <w:rFonts w:ascii="Times New Roman" w:eastAsia="TimesNewRoman" w:hAnsi="Times New Roman" w:cs="Times New Roman"/>
          <w:sz w:val="28"/>
          <w:szCs w:val="28"/>
        </w:rPr>
        <w:t>модифікований</w:t>
      </w:r>
      <w:proofErr w:type="spellEnd"/>
      <w:r w:rsidRPr="008002B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002B0">
        <w:rPr>
          <w:rFonts w:ascii="Times New Roman" w:eastAsia="TimesNewRoman" w:hAnsi="Times New Roman" w:cs="Times New Roman"/>
          <w:sz w:val="28"/>
          <w:szCs w:val="28"/>
        </w:rPr>
        <w:t>варіант</w:t>
      </w:r>
      <w:proofErr w:type="spellEnd"/>
      <w:r w:rsidRPr="008002B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002B0">
        <w:rPr>
          <w:rFonts w:ascii="Times New Roman" w:eastAsia="TimesNewRoman" w:hAnsi="Times New Roman" w:cs="Times New Roman"/>
          <w:sz w:val="28"/>
          <w:szCs w:val="28"/>
        </w:rPr>
        <w:t>цього</w:t>
      </w:r>
      <w:proofErr w:type="spellEnd"/>
      <w:r w:rsidRPr="008002B0">
        <w:rPr>
          <w:rFonts w:ascii="Times New Roman" w:eastAsia="TimesNewRoman" w:hAnsi="Times New Roman" w:cs="Times New Roman"/>
          <w:sz w:val="28"/>
          <w:szCs w:val="28"/>
        </w:rPr>
        <w:t xml:space="preserve"> тесту –</w:t>
      </w:r>
      <w:r w:rsidRPr="008002B0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</w:t>
      </w:r>
      <w:r w:rsidRPr="008002B0">
        <w:rPr>
          <w:rFonts w:ascii="Times New Roman" w:eastAsia="TimesNewRoman" w:hAnsi="Times New Roman" w:cs="Times New Roman"/>
          <w:sz w:val="28"/>
          <w:szCs w:val="28"/>
        </w:rPr>
        <w:t>тест PWC.</w:t>
      </w:r>
    </w:p>
    <w:p w14:paraId="4A134609" w14:textId="77777777" w:rsidR="00151749" w:rsidRPr="00CE4C94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CE4C9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Тест PWC170</w:t>
      </w:r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запропоновано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скандинавськими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вченими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50-х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роках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двадцятого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сторіччя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він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був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призначений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працездатності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молодих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людей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віком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30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років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Назва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тесту PWC170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представляє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собою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абревіатуру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англійського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терміну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фізична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працездатність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» –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Physical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Working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Capacity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позначення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PWC170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означає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фізичну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працездатність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пульсі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170 </w:t>
      </w:r>
      <w:proofErr w:type="gram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уд./</w:t>
      </w:r>
      <w:proofErr w:type="spellStart"/>
      <w:proofErr w:type="gram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60729AF6" w14:textId="77777777" w:rsidR="00151749" w:rsidRPr="00CE4C94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допомогою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даного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тесту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визначають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ту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потужність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при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якому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частота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серцевих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скорочень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досягає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170 </w:t>
      </w:r>
      <w:proofErr w:type="gram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уд./</w:t>
      </w:r>
      <w:proofErr w:type="spellStart"/>
      <w:proofErr w:type="gram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27AFCB73" w14:textId="77777777" w:rsidR="00151749" w:rsidRPr="00CE4C94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Вибір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саме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такого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частоти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серцевих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скорочень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зумовлено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двома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факторами: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по-перше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частота пульсу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біля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170 уд./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характеризує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оптимальний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продуктивністю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режим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функціонування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системи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по-друге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існує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чітка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лінійна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залежність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між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потужністю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(W) і частотою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серцевих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скорочень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межах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діапазону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120 до 170 уд./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., коли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ще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відбуваються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аеробні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механізми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енергозабезпечення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Sjostrand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Wahlund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). При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більш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високих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значеннях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лінійний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характер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цього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взаємозв’язку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втрачається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оскільки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стомлення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активізуються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анаеробні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гліколітичні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процеси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енергопостачання</w:t>
      </w:r>
      <w:proofErr w:type="spellEnd"/>
      <w:r w:rsidRPr="00F159AC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59AC">
        <w:rPr>
          <w:rFonts w:ascii="Times New Roman" w:eastAsia="TimesNewRoman" w:hAnsi="Times New Roman" w:cs="Times New Roman"/>
          <w:color w:val="000000"/>
          <w:sz w:val="28"/>
          <w:szCs w:val="28"/>
        </w:rPr>
        <w:t>З</w:t>
      </w:r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абезпечення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м’язової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роботи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подальшому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збільшенні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потужності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рахунок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вже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активізації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анаеробних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механізмів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енергозабезпечення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1E1CCCD4" w14:textId="77777777" w:rsidR="00151749" w:rsidRPr="00CE4C94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Наявність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лінійної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залежності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між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потужністю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роботи</w:t>
      </w:r>
      <w:proofErr w:type="spellEnd"/>
      <w:r w:rsidRPr="00F159A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ЧСС в межах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120 до 170 </w:t>
      </w:r>
      <w:proofErr w:type="gram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уд./</w:t>
      </w:r>
      <w:proofErr w:type="spellStart"/>
      <w:proofErr w:type="gram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дозволило не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використовувати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зумовлюють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підвищення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 до 170 уд./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оскільки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деяких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випадках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незручним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й не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небезпечним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Результати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тесту PWC170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отримують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підставі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регістрації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06029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двох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меншої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інтенсивності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методом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екстраполяції</w:t>
      </w:r>
      <w:proofErr w:type="spellEnd"/>
      <w:r w:rsidRPr="0006029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за умов</w:t>
      </w:r>
      <w:proofErr w:type="gram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друге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має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більше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першого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Фізичну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працездатність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визначають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графічним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математичним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методом.</w:t>
      </w:r>
    </w:p>
    <w:p w14:paraId="51EA9085" w14:textId="77777777" w:rsidR="00151749" w:rsidRPr="0006029C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практиці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застосовують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два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варіанти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тесту PWC170: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велоергометричний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степергометричний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відзначити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оцінка</w:t>
      </w:r>
      <w:proofErr w:type="spellEnd"/>
      <w:r w:rsidRPr="0006029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працездатності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допомогою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тесту PWC170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дає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надійні</w:t>
      </w:r>
      <w:proofErr w:type="spellEnd"/>
      <w:r w:rsidRPr="0006029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результати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лише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разі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дотримання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певних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умов. Перш за все, на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відміну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спортивних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тест PWC170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виконувати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без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попередньої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розминки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розминка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призвести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заниження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результатів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Крім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того,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однією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найважливіших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умов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досягнення</w:t>
      </w:r>
      <w:proofErr w:type="spellEnd"/>
      <w:r w:rsidRPr="0006029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високої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результативності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тесту PWC170 є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правильний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вибір</w:t>
      </w:r>
      <w:proofErr w:type="spellEnd"/>
      <w:r w:rsidRPr="0006029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потужності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застосованих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У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випадках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, коли</w:t>
      </w:r>
      <w:r w:rsidRPr="00D77C5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різниця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між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потужністю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1-го і 2-го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незначна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точність</w:t>
      </w:r>
      <w:proofErr w:type="spellEnd"/>
      <w:r w:rsidRPr="0006029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працездатності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суттєво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зменшується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Головним</w:t>
      </w:r>
      <w:proofErr w:type="spellEnd"/>
      <w:r w:rsidRPr="0006029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чином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відбувається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зв'язку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тим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завдяки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механізмам</w:t>
      </w:r>
      <w:proofErr w:type="spellEnd"/>
      <w:r w:rsidRPr="0006029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саморегулювання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кровообігу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має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здатності</w:t>
      </w:r>
      <w:proofErr w:type="spellEnd"/>
      <w:r w:rsidRPr="0006029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до точного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диференціювання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мало</w:t>
      </w:r>
      <w:r w:rsidRPr="0006029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відрізняються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своєю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потужністю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Саме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тому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тесту PWC170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потужність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2-го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повинна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істотно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відрізнятись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потужності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1-го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Критерієм</w:t>
      </w:r>
      <w:proofErr w:type="spellEnd"/>
      <w:r w:rsidRPr="0006029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правильного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вибору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потужності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оцінка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наприкінці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06029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ЧСС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наприкінці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1-го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повинна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досягати</w:t>
      </w:r>
      <w:proofErr w:type="spellEnd"/>
      <w:r w:rsidRPr="0006029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100-120 </w:t>
      </w:r>
      <w:proofErr w:type="gram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уд./</w:t>
      </w:r>
      <w:proofErr w:type="spellStart"/>
      <w:proofErr w:type="gram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., а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наприкінці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2-го – 140-160 уд./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Надзвичайно</w:t>
      </w:r>
      <w:proofErr w:type="spellEnd"/>
      <w:r w:rsidRPr="0006029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важливо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щоб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різниця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між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цими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значеннями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була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менше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ніж</w:t>
      </w:r>
      <w:proofErr w:type="spellEnd"/>
      <w:r w:rsidRPr="0006029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40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скорочень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серця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1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саме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забезпечує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отримання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найбільш</w:t>
      </w:r>
      <w:proofErr w:type="spellEnd"/>
      <w:r w:rsidRPr="0006029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точних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результатів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тесту.</w:t>
      </w:r>
      <w:r w:rsidRPr="00CE4C94">
        <w:rPr>
          <w:rFonts w:ascii="Times New Roman" w:eastAsia="TimesNewRoman" w:hAnsi="Times New Roman" w:cs="Times New Roman"/>
          <w:color w:val="FFFFFF"/>
          <w:sz w:val="28"/>
          <w:szCs w:val="28"/>
        </w:rPr>
        <w:t>136</w:t>
      </w:r>
    </w:p>
    <w:p w14:paraId="2EB71E4D" w14:textId="77777777" w:rsidR="00151749" w:rsidRPr="00CE4C94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Відносно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виду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роботи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то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найкращим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варіантом</w:t>
      </w:r>
      <w:proofErr w:type="spellEnd"/>
      <w:r w:rsidRPr="0006029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вважається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велоергометричне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оскільки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воно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дозволяє</w:t>
      </w:r>
      <w:proofErr w:type="spellEnd"/>
      <w:r w:rsidRPr="0006029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дотримуватися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06029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proofErr w:type="gram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інтенсивності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роботи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залучає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06029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великі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групи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м'язів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При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цьому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найбільш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доцільним</w:t>
      </w:r>
      <w:proofErr w:type="spellEnd"/>
      <w:r w:rsidRPr="0006029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є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велоергометричних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зусиль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постійною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частотою</w:t>
      </w:r>
      <w:r w:rsidRPr="0006029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педалювання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діапазоні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60-80 </w:t>
      </w:r>
      <w:proofErr w:type="gram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об./</w:t>
      </w:r>
      <w:proofErr w:type="spellStart"/>
      <w:proofErr w:type="gram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2123D99" w14:textId="77777777" w:rsidR="00151749" w:rsidRPr="00CE4C94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06029C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Велоергометричний</w:t>
      </w:r>
      <w:proofErr w:type="spellEnd"/>
      <w:r w:rsidRPr="0006029C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6029C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варіант</w:t>
      </w:r>
      <w:proofErr w:type="spellEnd"/>
      <w:r w:rsidRPr="0006029C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тесту PWC170</w:t>
      </w:r>
      <w:r w:rsidRPr="00CE4C94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.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Досліджуваному</w:t>
      </w:r>
      <w:proofErr w:type="spellEnd"/>
      <w:r w:rsidRPr="0006029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пропонується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послідовно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виконати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два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помірної</w:t>
      </w:r>
      <w:proofErr w:type="spellEnd"/>
      <w:r w:rsidRPr="00D77C5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інтенсивності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(W1 та W2,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500 і 1000 </w:t>
      </w:r>
      <w:proofErr w:type="spellStart"/>
      <w:proofErr w:type="gram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кг</w:t>
      </w:r>
      <w:r w:rsidRPr="0006029C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м</w:t>
      </w:r>
      <w:proofErr w:type="spellEnd"/>
      <w:proofErr w:type="gram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/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.) з частотою</w:t>
      </w:r>
      <w:r w:rsidRPr="0006029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обертання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педалей 60-80 об./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.;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розділені</w:t>
      </w:r>
      <w:proofErr w:type="spellEnd"/>
      <w:r w:rsidRPr="0006029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3-х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хвилинним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інтервалом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відпочинку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Перше і друге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продовжується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 5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наприкінці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кожного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30 с.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в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изначається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аускультативним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методом (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стетофонендоскопом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регіструються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параметри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ЕКГ.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Отримані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дані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подвоюються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визначають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 за 1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(f1 та f2).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Вибір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першого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залежить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маси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підготовленості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а у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спортсменів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ще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й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психомоторних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якостей</w:t>
      </w:r>
      <w:proofErr w:type="spellEnd"/>
      <w:r w:rsidRPr="00CE4C94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50D1F750" w14:textId="77777777" w:rsidR="00151749" w:rsidRPr="00E11327" w:rsidRDefault="00151749" w:rsidP="001517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FFFFFF"/>
          <w:sz w:val="28"/>
          <w:szCs w:val="28"/>
        </w:rPr>
      </w:pPr>
      <w:r w:rsidRPr="00770AD7">
        <w:rPr>
          <w:rFonts w:ascii="Times New Roman" w:eastAsia="TimesNewRoman" w:hAnsi="Times New Roman" w:cs="Times New Roman"/>
          <w:color w:val="FFFFFF"/>
          <w:sz w:val="28"/>
          <w:szCs w:val="28"/>
        </w:rPr>
        <w:t>138</w:t>
      </w:r>
      <w:r w:rsidRPr="00770AD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Потужність другого </w:t>
      </w:r>
      <w:proofErr w:type="spellStart"/>
      <w:r w:rsidRPr="00770AD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770AD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AD7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770AD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AD7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770AD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AD7">
        <w:rPr>
          <w:rFonts w:ascii="Times New Roman" w:eastAsia="TimesNewRoman" w:hAnsi="Times New Roman" w:cs="Times New Roman"/>
          <w:color w:val="000000"/>
          <w:sz w:val="28"/>
          <w:szCs w:val="28"/>
        </w:rPr>
        <w:t>збільшувати</w:t>
      </w:r>
      <w:proofErr w:type="spellEnd"/>
      <w:r w:rsidRPr="00E11327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r w:rsidRPr="00770AD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gramStart"/>
      <w:r w:rsidRPr="00770AD7">
        <w:rPr>
          <w:rFonts w:ascii="Times New Roman" w:eastAsia="TimesNewRoman" w:hAnsi="Times New Roman" w:cs="Times New Roman"/>
          <w:color w:val="000000"/>
          <w:sz w:val="28"/>
          <w:szCs w:val="28"/>
        </w:rPr>
        <w:t>1,5-2</w:t>
      </w:r>
      <w:proofErr w:type="gramEnd"/>
      <w:r w:rsidRPr="00770AD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рази і </w:t>
      </w:r>
      <w:proofErr w:type="spellStart"/>
      <w:r w:rsidRPr="00770AD7">
        <w:rPr>
          <w:rFonts w:ascii="Times New Roman" w:eastAsia="TimesNewRoman" w:hAnsi="Times New Roman" w:cs="Times New Roman"/>
          <w:color w:val="000000"/>
          <w:sz w:val="28"/>
          <w:szCs w:val="28"/>
        </w:rPr>
        <w:t>завдяки</w:t>
      </w:r>
      <w:proofErr w:type="spellEnd"/>
      <w:r w:rsidRPr="00770AD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AD7">
        <w:rPr>
          <w:rFonts w:ascii="Times New Roman" w:eastAsia="TimesNewRoman" w:hAnsi="Times New Roman" w:cs="Times New Roman"/>
          <w:color w:val="000000"/>
          <w:sz w:val="28"/>
          <w:szCs w:val="28"/>
        </w:rPr>
        <w:t>цьому</w:t>
      </w:r>
      <w:proofErr w:type="spellEnd"/>
      <w:r w:rsidRPr="00770AD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AD7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770AD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тесту PWC170 буде практично</w:t>
      </w:r>
      <w:r w:rsidRPr="00E11327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proofErr w:type="spellStart"/>
      <w:r w:rsidRPr="00770AD7">
        <w:rPr>
          <w:rFonts w:ascii="Times New Roman" w:eastAsia="TimesNewRoman" w:hAnsi="Times New Roman" w:cs="Times New Roman"/>
          <w:color w:val="000000"/>
          <w:sz w:val="28"/>
          <w:szCs w:val="28"/>
        </w:rPr>
        <w:t>доступним</w:t>
      </w:r>
      <w:proofErr w:type="spellEnd"/>
      <w:r w:rsidRPr="00770AD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AD7">
        <w:rPr>
          <w:rFonts w:ascii="Times New Roman" w:eastAsia="TimesNewRoman" w:hAnsi="Times New Roman" w:cs="Times New Roman"/>
          <w:color w:val="000000"/>
          <w:sz w:val="28"/>
          <w:szCs w:val="28"/>
        </w:rPr>
        <w:t>майже</w:t>
      </w:r>
      <w:proofErr w:type="spellEnd"/>
      <w:r w:rsidRPr="00770AD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770AD7">
        <w:rPr>
          <w:rFonts w:ascii="Times New Roman" w:eastAsia="TimesNewRoman" w:hAnsi="Times New Roman" w:cs="Times New Roman"/>
          <w:color w:val="000000"/>
          <w:sz w:val="28"/>
          <w:szCs w:val="28"/>
        </w:rPr>
        <w:t>всіх</w:t>
      </w:r>
      <w:proofErr w:type="spellEnd"/>
      <w:r w:rsidRPr="00770AD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AD7">
        <w:rPr>
          <w:rFonts w:ascii="Times New Roman" w:eastAsia="TimesNewRoman" w:hAnsi="Times New Roman" w:cs="Times New Roman"/>
          <w:color w:val="000000"/>
          <w:sz w:val="28"/>
          <w:szCs w:val="28"/>
        </w:rPr>
        <w:t>категорій</w:t>
      </w:r>
      <w:proofErr w:type="spellEnd"/>
      <w:r w:rsidRPr="00770AD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AD7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770AD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70AD7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770AD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AD7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займаються</w:t>
      </w:r>
      <w:proofErr w:type="spellEnd"/>
      <w:r w:rsidRPr="00770AD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AD7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спортивними</w:t>
      </w:r>
      <w:proofErr w:type="spellEnd"/>
      <w:r w:rsidRPr="00E11327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r w:rsidRPr="00770AD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770AD7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оздоровчими</w:t>
      </w:r>
      <w:proofErr w:type="spellEnd"/>
      <w:r w:rsidRPr="00770AD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AD7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тренуваннями</w:t>
      </w:r>
      <w:proofErr w:type="spellEnd"/>
      <w:r w:rsidRPr="00770AD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</w:t>
      </w:r>
      <w:proofErr w:type="spellStart"/>
      <w:r w:rsidRPr="00770AD7">
        <w:rPr>
          <w:rFonts w:ascii="Times New Roman" w:eastAsia="TimesNewRoman" w:hAnsi="Times New Roman" w:cs="Times New Roman"/>
          <w:color w:val="000000"/>
          <w:sz w:val="28"/>
          <w:szCs w:val="28"/>
        </w:rPr>
        <w:t>лікувальною</w:t>
      </w:r>
      <w:proofErr w:type="spellEnd"/>
      <w:r w:rsidRPr="00770AD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AD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фізичною</w:t>
      </w:r>
      <w:proofErr w:type="spellEnd"/>
      <w:r w:rsidRPr="00770AD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культурою.</w:t>
      </w:r>
    </w:p>
    <w:p w14:paraId="2209A503" w14:textId="77777777" w:rsidR="00151749" w:rsidRPr="00D35E4A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D35E4A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Степергометричний</w:t>
      </w:r>
      <w:proofErr w:type="spellEnd"/>
      <w:r w:rsidRPr="00D35E4A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варіант</w:t>
      </w:r>
      <w:proofErr w:type="spellEnd"/>
      <w:r w:rsidRPr="00D35E4A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тесту PWC170</w:t>
      </w:r>
      <w:r w:rsidRPr="00D35E4A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даному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варіанті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навантажувального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тестування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частіше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застосовується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висота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сходинки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яка повинна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дорівнювати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половині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довжини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ноги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досліджуваного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Бажано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мати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набір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тумбочок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сходинок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різної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висоти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(15, 30, 40 см. і </w:t>
      </w:r>
      <w:proofErr w:type="gram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т.д.</w:t>
      </w:r>
      <w:proofErr w:type="gram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). Один цикл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складається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чотирьох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кроків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тому 25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циклів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відповідають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темпові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метронома,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рівному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100 </w:t>
      </w:r>
      <w:proofErr w:type="gram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уд./</w:t>
      </w:r>
      <w:proofErr w:type="spellStart"/>
      <w:proofErr w:type="gram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670C1B9C" w14:textId="5D9DB835" w:rsidR="00151749" w:rsidRPr="00D35E4A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Отриманий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результат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працездатності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 в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кгм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/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для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зазначення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ватах (Вт),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розділити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6,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оскільки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 Вт = 6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кгм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/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добору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оптимальної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особи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висоти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сходинки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степергометричний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варіант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тесту PWC170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проводять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такій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послідовності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:</w:t>
      </w:r>
    </w:p>
    <w:p w14:paraId="568C205D" w14:textId="77777777" w:rsidR="00151749" w:rsidRPr="00D35E4A" w:rsidRDefault="00151749" w:rsidP="001517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першого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виконується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підйом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сходинку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відповідної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висоти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3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темпі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20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сходжень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1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58C270D1" w14:textId="77777777" w:rsidR="00151749" w:rsidRPr="00D35E4A" w:rsidRDefault="00151749" w:rsidP="001517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Відразу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підраховується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пульс (ЧСС</w:t>
      </w:r>
      <w:r w:rsidRPr="00D35E4A">
        <w:rPr>
          <w:rFonts w:ascii="Times New Roman" w:eastAsia="TimesNewRoman" w:hAnsi="Times New Roman" w:cs="Times New Roman"/>
          <w:color w:val="000000"/>
          <w:sz w:val="20"/>
          <w:szCs w:val="20"/>
        </w:rPr>
        <w:t>1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) за 10 с;</w:t>
      </w:r>
      <w:r w:rsidRPr="00D35E4A">
        <w:rPr>
          <w:rFonts w:ascii="Times New Roman" w:eastAsia="TimesNewRoman" w:hAnsi="Times New Roman" w:cs="Times New Roman"/>
          <w:color w:val="FFFFFF"/>
          <w:sz w:val="28"/>
          <w:szCs w:val="28"/>
        </w:rPr>
        <w:t>139</w:t>
      </w:r>
    </w:p>
    <w:p w14:paraId="366EE462" w14:textId="77777777" w:rsidR="00151749" w:rsidRPr="00D35E4A" w:rsidRDefault="00151749" w:rsidP="001517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За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таблиц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ею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знаходять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індивідуальне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число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підйомів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сходинку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 в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залежності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</w:t>
      </w:r>
      <w:r w:rsidRPr="00D35E4A">
        <w:rPr>
          <w:rFonts w:ascii="Times New Roman" w:eastAsia="TimesNewRoman" w:hAnsi="Times New Roman" w:cs="Times New Roman"/>
          <w:color w:val="000000"/>
          <w:sz w:val="20"/>
          <w:szCs w:val="20"/>
        </w:rPr>
        <w:t>1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;</w:t>
      </w:r>
    </w:p>
    <w:p w14:paraId="573C5100" w14:textId="77777777" w:rsidR="00151749" w:rsidRPr="00D35E4A" w:rsidRDefault="00151749" w:rsidP="001517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Продовження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підйому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сходинку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тієї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ж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висоти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2-х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шв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и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к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у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темпі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22,5 – 30</w:t>
      </w:r>
      <w:proofErr w:type="gram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сходжень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1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.)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залежно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</w:t>
      </w:r>
      <w:r w:rsidRPr="00D35E4A">
        <w:rPr>
          <w:rFonts w:ascii="Times New Roman" w:eastAsia="TimesNewRoman" w:hAnsi="Times New Roman" w:cs="Times New Roman"/>
          <w:color w:val="000000"/>
          <w:sz w:val="20"/>
          <w:szCs w:val="20"/>
        </w:rPr>
        <w:t>1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;</w:t>
      </w:r>
    </w:p>
    <w:p w14:paraId="3FFC5F31" w14:textId="77777777" w:rsidR="00151749" w:rsidRPr="00D35E4A" w:rsidRDefault="00151749" w:rsidP="001517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Відразу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підраховують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пульс (ЧСС</w:t>
      </w:r>
      <w:r w:rsidRPr="00E7381E">
        <w:rPr>
          <w:rFonts w:ascii="Times New Roman" w:eastAsia="TimesNewRoman" w:hAnsi="Times New Roman" w:cs="Times New Roman"/>
          <w:color w:val="000000"/>
          <w:sz w:val="20"/>
          <w:szCs w:val="20"/>
        </w:rPr>
        <w:t>2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) за 10 с.</w:t>
      </w:r>
    </w:p>
    <w:p w14:paraId="4FDCADBF" w14:textId="1395D9F0" w:rsidR="00151749" w:rsidRPr="00D35E4A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Таблиці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BB118B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1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приведено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орієнтовний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темп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сходження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степергометричним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варіантом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тесту PWC170.</w:t>
      </w:r>
    </w:p>
    <w:p w14:paraId="60025525" w14:textId="1E092D24" w:rsidR="00151749" w:rsidRPr="00904204" w:rsidRDefault="00151749" w:rsidP="0015174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Таблиця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BB118B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1</w:t>
      </w:r>
    </w:p>
    <w:p w14:paraId="548967B3" w14:textId="77777777" w:rsidR="00151749" w:rsidRPr="00D35E4A" w:rsidRDefault="00151749" w:rsidP="001517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Орієнтовний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темп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сходження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степергометрії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першому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</w:t>
      </w:r>
    </w:p>
    <w:p w14:paraId="365C1026" w14:textId="77777777" w:rsidR="00151749" w:rsidRDefault="00151749" w:rsidP="0015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другому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сходженні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1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хвилину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врахуванням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1560"/>
        <w:gridCol w:w="1560"/>
        <w:gridCol w:w="1553"/>
      </w:tblGrid>
      <w:tr w:rsidR="00151749" w:rsidRPr="00F060E5" w14:paraId="18E4DE0E" w14:textId="77777777" w:rsidTr="00FC3C61">
        <w:tc>
          <w:tcPr>
            <w:tcW w:w="4672" w:type="dxa"/>
          </w:tcPr>
          <w:p w14:paraId="04E45EA5" w14:textId="77777777" w:rsidR="00151749" w:rsidRPr="006062AD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062AD">
              <w:rPr>
                <w:rFonts w:ascii="Times New Roman" w:hAnsi="Times New Roman" w:cs="Times New Roman"/>
                <w:lang w:val="ru-RU"/>
              </w:rPr>
              <w:t xml:space="preserve">Перше </w:t>
            </w:r>
            <w:proofErr w:type="spellStart"/>
            <w:r w:rsidRPr="006062AD">
              <w:rPr>
                <w:rFonts w:ascii="Times New Roman" w:hAnsi="Times New Roman" w:cs="Times New Roman"/>
                <w:lang w:val="ru-RU"/>
              </w:rPr>
              <w:t>навантаження</w:t>
            </w:r>
            <w:proofErr w:type="spellEnd"/>
            <w:r w:rsidRPr="006062AD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6062AD">
              <w:rPr>
                <w:rFonts w:ascii="Times New Roman" w:hAnsi="Times New Roman" w:cs="Times New Roman"/>
                <w:lang w:val="ru-RU"/>
              </w:rPr>
              <w:t>кількість</w:t>
            </w:r>
            <w:proofErr w:type="spellEnd"/>
            <w:r w:rsidRPr="006062A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062AD">
              <w:rPr>
                <w:rFonts w:ascii="Times New Roman" w:hAnsi="Times New Roman" w:cs="Times New Roman"/>
                <w:lang w:val="ru-RU"/>
              </w:rPr>
              <w:t>сходжень</w:t>
            </w:r>
            <w:proofErr w:type="spellEnd"/>
            <w:r w:rsidRPr="006062AD">
              <w:rPr>
                <w:rFonts w:ascii="Times New Roman" w:hAnsi="Times New Roman" w:cs="Times New Roman"/>
                <w:lang w:val="ru-RU"/>
              </w:rPr>
              <w:t xml:space="preserve"> за 1 </w:t>
            </w:r>
            <w:proofErr w:type="spellStart"/>
            <w:r w:rsidRPr="006062AD">
              <w:rPr>
                <w:rFonts w:ascii="Times New Roman" w:hAnsi="Times New Roman" w:cs="Times New Roman"/>
                <w:lang w:val="ru-RU"/>
              </w:rPr>
              <w:t>хв</w:t>
            </w:r>
            <w:proofErr w:type="spellEnd"/>
            <w:r w:rsidRPr="006062AD">
              <w:rPr>
                <w:rFonts w:ascii="Times New Roman" w:hAnsi="Times New Roman" w:cs="Times New Roman"/>
                <w:lang w:val="ru-RU"/>
              </w:rPr>
              <w:t>.)</w:t>
            </w:r>
          </w:p>
        </w:tc>
        <w:tc>
          <w:tcPr>
            <w:tcW w:w="4673" w:type="dxa"/>
            <w:gridSpan w:val="3"/>
          </w:tcPr>
          <w:p w14:paraId="480F9571" w14:textId="77777777" w:rsidR="00151749" w:rsidRPr="006062AD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062AD">
              <w:rPr>
                <w:rFonts w:ascii="Times New Roman" w:hAnsi="Times New Roman" w:cs="Times New Roman"/>
                <w:lang w:val="ru-RU"/>
              </w:rPr>
              <w:t>20</w:t>
            </w:r>
          </w:p>
        </w:tc>
      </w:tr>
      <w:tr w:rsidR="00151749" w:rsidRPr="00F060E5" w14:paraId="32E6A1DE" w14:textId="77777777" w:rsidTr="00FC3C61">
        <w:tc>
          <w:tcPr>
            <w:tcW w:w="4672" w:type="dxa"/>
          </w:tcPr>
          <w:p w14:paraId="1F2775F0" w14:textId="77777777" w:rsidR="00151749" w:rsidRPr="006062AD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062AD">
              <w:rPr>
                <w:rFonts w:ascii="Times New Roman" w:hAnsi="Times New Roman" w:cs="Times New Roman"/>
                <w:lang w:val="ru-RU"/>
              </w:rPr>
              <w:t xml:space="preserve">ЧСС за 10 с </w:t>
            </w:r>
            <w:proofErr w:type="spellStart"/>
            <w:r w:rsidRPr="006062AD">
              <w:rPr>
                <w:rFonts w:ascii="Times New Roman" w:hAnsi="Times New Roman" w:cs="Times New Roman"/>
                <w:lang w:val="ru-RU"/>
              </w:rPr>
              <w:t>після</w:t>
            </w:r>
            <w:proofErr w:type="spellEnd"/>
            <w:r w:rsidRPr="006062A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062AD">
              <w:rPr>
                <w:rFonts w:ascii="Times New Roman" w:hAnsi="Times New Roman" w:cs="Times New Roman"/>
                <w:lang w:val="ru-RU"/>
              </w:rPr>
              <w:t>першого</w:t>
            </w:r>
            <w:proofErr w:type="spellEnd"/>
            <w:r w:rsidRPr="006062A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062AD">
              <w:rPr>
                <w:rFonts w:ascii="Times New Roman" w:hAnsi="Times New Roman" w:cs="Times New Roman"/>
                <w:lang w:val="ru-RU"/>
              </w:rPr>
              <w:t>навантаження</w:t>
            </w:r>
            <w:proofErr w:type="spellEnd"/>
          </w:p>
        </w:tc>
        <w:tc>
          <w:tcPr>
            <w:tcW w:w="1560" w:type="dxa"/>
          </w:tcPr>
          <w:p w14:paraId="47E42A2A" w14:textId="77777777" w:rsidR="00151749" w:rsidRPr="006062AD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062AD">
              <w:rPr>
                <w:rFonts w:ascii="Times New Roman" w:hAnsi="Times New Roman" w:cs="Times New Roman"/>
                <w:lang w:val="ru-RU"/>
              </w:rPr>
              <w:t>До 20</w:t>
            </w:r>
          </w:p>
        </w:tc>
        <w:tc>
          <w:tcPr>
            <w:tcW w:w="1560" w:type="dxa"/>
          </w:tcPr>
          <w:p w14:paraId="17326D05" w14:textId="77777777" w:rsidR="00151749" w:rsidRPr="006062AD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062AD">
              <w:rPr>
                <w:rFonts w:ascii="Times New Roman" w:hAnsi="Times New Roman" w:cs="Times New Roman"/>
                <w:lang w:val="ru-RU"/>
              </w:rPr>
              <w:t>20-23</w:t>
            </w:r>
          </w:p>
        </w:tc>
        <w:tc>
          <w:tcPr>
            <w:tcW w:w="1553" w:type="dxa"/>
          </w:tcPr>
          <w:p w14:paraId="048D118B" w14:textId="77777777" w:rsidR="00151749" w:rsidRPr="006062AD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062AD">
              <w:rPr>
                <w:rFonts w:ascii="Times New Roman" w:hAnsi="Times New Roman" w:cs="Times New Roman"/>
                <w:lang w:val="ru-RU"/>
              </w:rPr>
              <w:t>Більше</w:t>
            </w:r>
            <w:proofErr w:type="spellEnd"/>
            <w:r w:rsidRPr="006062AD">
              <w:rPr>
                <w:rFonts w:ascii="Times New Roman" w:hAnsi="Times New Roman" w:cs="Times New Roman"/>
                <w:lang w:val="ru-RU"/>
              </w:rPr>
              <w:t xml:space="preserve"> 23</w:t>
            </w:r>
          </w:p>
        </w:tc>
      </w:tr>
      <w:tr w:rsidR="00151749" w:rsidRPr="00F060E5" w14:paraId="0639B663" w14:textId="77777777" w:rsidTr="00FC3C61">
        <w:tc>
          <w:tcPr>
            <w:tcW w:w="4672" w:type="dxa"/>
          </w:tcPr>
          <w:p w14:paraId="54DC871B" w14:textId="77777777" w:rsidR="00151749" w:rsidRPr="006062AD" w:rsidRDefault="00151749" w:rsidP="00FC3C61">
            <w:pPr>
              <w:jc w:val="center"/>
              <w:rPr>
                <w:rFonts w:ascii="Times New Roman" w:hAnsi="Times New Roman" w:cs="Times New Roman"/>
              </w:rPr>
            </w:pPr>
            <w:r w:rsidRPr="006062AD">
              <w:rPr>
                <w:rFonts w:ascii="Times New Roman" w:hAnsi="Times New Roman" w:cs="Times New Roman"/>
                <w:lang w:val="ru-RU"/>
              </w:rPr>
              <w:t xml:space="preserve">Друге </w:t>
            </w:r>
            <w:proofErr w:type="spellStart"/>
            <w:r w:rsidRPr="006062AD">
              <w:rPr>
                <w:rFonts w:ascii="Times New Roman" w:hAnsi="Times New Roman" w:cs="Times New Roman"/>
                <w:lang w:val="ru-RU"/>
              </w:rPr>
              <w:t>навантаження</w:t>
            </w:r>
            <w:proofErr w:type="spellEnd"/>
            <w:r w:rsidRPr="006062AD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6062AD">
              <w:rPr>
                <w:rFonts w:ascii="Times New Roman" w:hAnsi="Times New Roman" w:cs="Times New Roman"/>
                <w:lang w:val="ru-RU"/>
              </w:rPr>
              <w:t>кількість</w:t>
            </w:r>
            <w:proofErr w:type="spellEnd"/>
            <w:r w:rsidRPr="006062A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062AD">
              <w:rPr>
                <w:rFonts w:ascii="Times New Roman" w:hAnsi="Times New Roman" w:cs="Times New Roman"/>
                <w:lang w:val="ru-RU"/>
              </w:rPr>
              <w:t>сходжень</w:t>
            </w:r>
            <w:proofErr w:type="spellEnd"/>
            <w:r w:rsidRPr="006062AD">
              <w:rPr>
                <w:rFonts w:ascii="Times New Roman" w:hAnsi="Times New Roman" w:cs="Times New Roman"/>
                <w:lang w:val="ru-RU"/>
              </w:rPr>
              <w:t xml:space="preserve"> за 1 </w:t>
            </w:r>
            <w:proofErr w:type="spellStart"/>
            <w:r w:rsidRPr="006062AD">
              <w:rPr>
                <w:rFonts w:ascii="Times New Roman" w:hAnsi="Times New Roman" w:cs="Times New Roman"/>
                <w:lang w:val="ru-RU"/>
              </w:rPr>
              <w:t>хв</w:t>
            </w:r>
            <w:proofErr w:type="spellEnd"/>
            <w:r w:rsidRPr="006062AD">
              <w:rPr>
                <w:rFonts w:ascii="Times New Roman" w:hAnsi="Times New Roman" w:cs="Times New Roman"/>
                <w:lang w:val="ru-RU"/>
              </w:rPr>
              <w:t>.)</w:t>
            </w:r>
          </w:p>
        </w:tc>
        <w:tc>
          <w:tcPr>
            <w:tcW w:w="1560" w:type="dxa"/>
          </w:tcPr>
          <w:p w14:paraId="2B37FF43" w14:textId="77777777" w:rsidR="00151749" w:rsidRPr="006062AD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062AD"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1560" w:type="dxa"/>
          </w:tcPr>
          <w:p w14:paraId="1E4868C3" w14:textId="77777777" w:rsidR="00151749" w:rsidRPr="006062AD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062AD"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1553" w:type="dxa"/>
          </w:tcPr>
          <w:p w14:paraId="5AE7B5E3" w14:textId="77777777" w:rsidR="00151749" w:rsidRPr="006062AD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062AD">
              <w:rPr>
                <w:rFonts w:ascii="Times New Roman" w:hAnsi="Times New Roman" w:cs="Times New Roman"/>
                <w:lang w:val="ru-RU"/>
              </w:rPr>
              <w:t>22,5</w:t>
            </w:r>
          </w:p>
        </w:tc>
      </w:tr>
    </w:tbl>
    <w:p w14:paraId="6F169D2C" w14:textId="77777777" w:rsidR="00151749" w:rsidRPr="008A01CF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Результати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тесту PWC170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оцінюють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двома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способами: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графічним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математичним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За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310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графічн</w:t>
      </w:r>
      <w:proofErr w:type="spellEnd"/>
      <w:r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и</w:t>
      </w:r>
      <w:r w:rsidRPr="00F9310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м метод</w:t>
      </w:r>
      <w:r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ом</w:t>
      </w:r>
      <w:r w:rsidRPr="00D35E4A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осі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ординат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відкладають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частоти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серцевих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скорочень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(за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хвилину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на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осі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абсцис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потужність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роботи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(в </w:t>
      </w:r>
      <w:proofErr w:type="gram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кг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м</w:t>
      </w:r>
      <w:proofErr w:type="gram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/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Вт).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Відмічається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потужності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частоти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серцевих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скорочень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першому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другому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навантаженні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Отримані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дві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точки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з’єднують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прямою, яка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продовжується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перетину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горизонтальною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лінією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проведеною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через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частоти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серцевих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скорочень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170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ударів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. З точки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перетину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опускають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перпендикуляр на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вісь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абсцис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визначають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потужність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роботи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частоті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пульсу в 170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ударів</w:t>
      </w:r>
      <w:proofErr w:type="spellEnd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D35E4A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хвилину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</w:p>
    <w:p w14:paraId="51989D71" w14:textId="77777777" w:rsidR="00151749" w:rsidRPr="00805E74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bookmarkStart w:id="0" w:name="_Hlk148176452"/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Математичним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методом РWC170,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який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вважається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більш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точним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розрахунок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даного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показнику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формулою,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яка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запропонована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В.Л.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Карпманом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і</w:t>
      </w:r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співав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.:</w:t>
      </w:r>
    </w:p>
    <w:p w14:paraId="66DCC6A6" w14:textId="77777777" w:rsidR="00151749" w:rsidRPr="00805E74" w:rsidRDefault="00151749" w:rsidP="001517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805E7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РWC170 = N1 + (N2 – N1) × [(170 – ЧП1</w:t>
      </w:r>
      <w:proofErr w:type="gramStart"/>
      <w:r w:rsidRPr="00805E7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) :</w:t>
      </w:r>
      <w:proofErr w:type="gramEnd"/>
      <w:r w:rsidRPr="00805E7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(ЧП2 – ЧП1)],</w:t>
      </w:r>
    </w:p>
    <w:p w14:paraId="3EBDBCE6" w14:textId="77777777" w:rsidR="00151749" w:rsidRPr="00805E74" w:rsidRDefault="00151749" w:rsidP="001517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де РWC170 –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фізична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працездатність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кгм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/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.);</w:t>
      </w:r>
    </w:p>
    <w:p w14:paraId="1004A14B" w14:textId="77777777" w:rsidR="00151749" w:rsidRPr="00805E74" w:rsidRDefault="00151749" w:rsidP="001517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N1 і N2 –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потужність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першого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другого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кг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м</w:t>
      </w:r>
      <w:proofErr w:type="gram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/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.);</w:t>
      </w:r>
    </w:p>
    <w:p w14:paraId="1CAC76A4" w14:textId="77777777" w:rsidR="00151749" w:rsidRPr="00805E74" w:rsidRDefault="00151749" w:rsidP="001517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ЧП1 і ЧП2 –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 (</w:t>
      </w:r>
      <w:proofErr w:type="gram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уд./</w:t>
      </w:r>
      <w:proofErr w:type="spellStart"/>
      <w:proofErr w:type="gram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.)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першого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другого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формулами:</w:t>
      </w:r>
    </w:p>
    <w:p w14:paraId="1F50347E" w14:textId="77777777" w:rsidR="00151749" w:rsidRPr="00805E74" w:rsidRDefault="00151749" w:rsidP="001517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805E7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N1 = 1,5 × Р × h × n1,</w:t>
      </w:r>
    </w:p>
    <w:p w14:paraId="62FA811D" w14:textId="77777777" w:rsidR="00151749" w:rsidRPr="00805E74" w:rsidRDefault="00151749" w:rsidP="001517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805E7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N2 = 1,5 × Р × h × n2,</w:t>
      </w:r>
    </w:p>
    <w:p w14:paraId="3F383058" w14:textId="77777777" w:rsidR="00151749" w:rsidRPr="00805E74" w:rsidRDefault="00151749" w:rsidP="001517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де Р – вага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(кг); h –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висота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сходинки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(м); n1 –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кількість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сходжень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одну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хвилину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першого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;</w:t>
      </w:r>
      <w:r w:rsidRPr="00735BF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n2 –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кількість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сходжень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одну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хвилину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другого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1,5 –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коефіцієнт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враховує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витрати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спуск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зі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сходинки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середньому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складають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33%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витрат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підйом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bookmarkEnd w:id="0"/>
    <w:p w14:paraId="69A36EA4" w14:textId="77777777" w:rsidR="00151749" w:rsidRPr="00805E74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працездатності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впливають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такі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фактори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як стать,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вік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розміри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фізична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активність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спадковість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9B677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стан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здоров'я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професійна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діяльність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тощо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</w:p>
    <w:p w14:paraId="3DD87F24" w14:textId="511694EA" w:rsidR="00151749" w:rsidRPr="00805E74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bookmarkStart w:id="1" w:name="_Hlk148176894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таблиці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475D75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2</w:t>
      </w:r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представлені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оціночні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критерії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працездатності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різної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статі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результатами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степергометричного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варіанту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тесту PWC170.</w:t>
      </w:r>
    </w:p>
    <w:p w14:paraId="359261B1" w14:textId="5B1E8331" w:rsidR="00151749" w:rsidRPr="00475D75" w:rsidRDefault="00151749" w:rsidP="0015174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Таблиця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475D75" w:rsidRPr="00475D75">
        <w:rPr>
          <w:rFonts w:ascii="Times New Roman" w:eastAsia="TimesNewRoman" w:hAnsi="Times New Roman" w:cs="Times New Roman"/>
          <w:color w:val="000000"/>
          <w:sz w:val="28"/>
          <w:szCs w:val="28"/>
        </w:rPr>
        <w:t>2</w:t>
      </w:r>
    </w:p>
    <w:p w14:paraId="4BBAA66E" w14:textId="77777777" w:rsidR="00151749" w:rsidRPr="00805E74" w:rsidRDefault="00151749" w:rsidP="0015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Оцінка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загальної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працездатності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різної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статі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</w:t>
      </w:r>
    </w:p>
    <w:p w14:paraId="528FAFB6" w14:textId="77777777" w:rsidR="00151749" w:rsidRDefault="00151749" w:rsidP="0015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показником</w:t>
      </w:r>
      <w:proofErr w:type="spellEnd"/>
      <w:r w:rsidRPr="00805E7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PWC170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151749" w:rsidRPr="00F5178A" w14:paraId="555066D8" w14:textId="77777777" w:rsidTr="00FC3C61">
        <w:tc>
          <w:tcPr>
            <w:tcW w:w="1557" w:type="dxa"/>
            <w:vMerge w:val="restart"/>
          </w:tcPr>
          <w:p w14:paraId="6D54CC94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5178A">
              <w:rPr>
                <w:rFonts w:ascii="Times New Roman" w:hAnsi="Times New Roman" w:cs="Times New Roman"/>
                <w:lang w:val="ru-RU"/>
              </w:rPr>
              <w:t>Вік</w:t>
            </w:r>
            <w:proofErr w:type="spellEnd"/>
            <w:r w:rsidRPr="00F5178A">
              <w:rPr>
                <w:rFonts w:ascii="Times New Roman" w:hAnsi="Times New Roman" w:cs="Times New Roman"/>
                <w:lang w:val="ru-RU"/>
              </w:rPr>
              <w:t>, роки</w:t>
            </w:r>
          </w:p>
        </w:tc>
        <w:tc>
          <w:tcPr>
            <w:tcW w:w="7788" w:type="dxa"/>
            <w:gridSpan w:val="5"/>
          </w:tcPr>
          <w:p w14:paraId="69394672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 w:rsidRPr="00F5178A">
              <w:rPr>
                <w:rFonts w:ascii="Times New Roman" w:hAnsi="Times New Roman" w:cs="Times New Roman"/>
                <w:lang w:val="ru-RU"/>
              </w:rPr>
              <w:t>Фізична</w:t>
            </w:r>
            <w:proofErr w:type="spellEnd"/>
            <w:r w:rsidRPr="00F5178A">
              <w:rPr>
                <w:rFonts w:ascii="Times New Roman" w:hAnsi="Times New Roman" w:cs="Times New Roman"/>
                <w:lang w:val="ru-RU"/>
              </w:rPr>
              <w:t xml:space="preserve">  </w:t>
            </w:r>
            <w:proofErr w:type="spellStart"/>
            <w:r w:rsidRPr="00F5178A">
              <w:rPr>
                <w:rFonts w:ascii="Times New Roman" w:hAnsi="Times New Roman" w:cs="Times New Roman"/>
                <w:lang w:val="ru-RU"/>
              </w:rPr>
              <w:t>працездатність</w:t>
            </w:r>
            <w:proofErr w:type="spellEnd"/>
            <w:proofErr w:type="gramEnd"/>
          </w:p>
        </w:tc>
      </w:tr>
      <w:tr w:rsidR="00151749" w:rsidRPr="00F5178A" w14:paraId="37A558F9" w14:textId="77777777" w:rsidTr="00FC3C61">
        <w:tc>
          <w:tcPr>
            <w:tcW w:w="1557" w:type="dxa"/>
            <w:vMerge/>
          </w:tcPr>
          <w:p w14:paraId="088647BC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14:paraId="227AB3EA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5178A">
              <w:rPr>
                <w:rFonts w:ascii="Times New Roman" w:hAnsi="Times New Roman" w:cs="Times New Roman"/>
                <w:lang w:val="ru-RU"/>
              </w:rPr>
              <w:t>низька</w:t>
            </w:r>
            <w:proofErr w:type="spellEnd"/>
          </w:p>
        </w:tc>
        <w:tc>
          <w:tcPr>
            <w:tcW w:w="1557" w:type="dxa"/>
          </w:tcPr>
          <w:p w14:paraId="5854EFD3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н</w:t>
            </w:r>
            <w:r w:rsidRPr="00F5178A">
              <w:rPr>
                <w:rFonts w:ascii="Times New Roman" w:hAnsi="Times New Roman" w:cs="Times New Roman"/>
                <w:lang w:val="ru-RU"/>
              </w:rPr>
              <w:t>ижч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proofErr w:type="spellEnd"/>
            <w:r w:rsidRPr="00F5178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proofErr w:type="spellStart"/>
            <w:r w:rsidRPr="00F5178A">
              <w:rPr>
                <w:rFonts w:ascii="Times New Roman" w:hAnsi="Times New Roman" w:cs="Times New Roman"/>
                <w:lang w:val="ru-RU"/>
              </w:rPr>
              <w:t>середн</w:t>
            </w:r>
            <w:r>
              <w:rPr>
                <w:rFonts w:ascii="Times New Roman" w:hAnsi="Times New Roman" w:cs="Times New Roman"/>
                <w:lang w:val="ru-RU"/>
              </w:rPr>
              <w:t>ю</w:t>
            </w:r>
            <w:proofErr w:type="spellEnd"/>
          </w:p>
        </w:tc>
        <w:tc>
          <w:tcPr>
            <w:tcW w:w="1558" w:type="dxa"/>
          </w:tcPr>
          <w:p w14:paraId="4D8146FF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5178A">
              <w:rPr>
                <w:rFonts w:ascii="Times New Roman" w:hAnsi="Times New Roman" w:cs="Times New Roman"/>
                <w:lang w:val="ru-RU"/>
              </w:rPr>
              <w:t>середня</w:t>
            </w:r>
            <w:proofErr w:type="spellEnd"/>
          </w:p>
        </w:tc>
        <w:tc>
          <w:tcPr>
            <w:tcW w:w="1558" w:type="dxa"/>
          </w:tcPr>
          <w:p w14:paraId="738D7A34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в</w:t>
            </w:r>
            <w:r w:rsidRPr="00F5178A">
              <w:rPr>
                <w:rFonts w:ascii="Times New Roman" w:hAnsi="Times New Roman" w:cs="Times New Roman"/>
                <w:lang w:val="ru-RU"/>
              </w:rPr>
              <w:t>ищ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proofErr w:type="spellEnd"/>
            <w:r w:rsidRPr="00F5178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proofErr w:type="spellStart"/>
            <w:r w:rsidRPr="00F5178A">
              <w:rPr>
                <w:rFonts w:ascii="Times New Roman" w:hAnsi="Times New Roman" w:cs="Times New Roman"/>
                <w:lang w:val="ru-RU"/>
              </w:rPr>
              <w:t>середн</w:t>
            </w:r>
            <w:r>
              <w:rPr>
                <w:rFonts w:ascii="Times New Roman" w:hAnsi="Times New Roman" w:cs="Times New Roman"/>
                <w:lang w:val="ru-RU"/>
              </w:rPr>
              <w:t>ю</w:t>
            </w:r>
            <w:proofErr w:type="spellEnd"/>
          </w:p>
        </w:tc>
        <w:tc>
          <w:tcPr>
            <w:tcW w:w="1558" w:type="dxa"/>
          </w:tcPr>
          <w:p w14:paraId="1596075E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5178A">
              <w:rPr>
                <w:rFonts w:ascii="Times New Roman" w:hAnsi="Times New Roman" w:cs="Times New Roman"/>
                <w:lang w:val="ru-RU"/>
              </w:rPr>
              <w:t>висока</w:t>
            </w:r>
            <w:proofErr w:type="spellEnd"/>
          </w:p>
        </w:tc>
      </w:tr>
      <w:tr w:rsidR="00151749" w:rsidRPr="00F5178A" w14:paraId="55721C28" w14:textId="77777777" w:rsidTr="00FC3C61">
        <w:tc>
          <w:tcPr>
            <w:tcW w:w="9345" w:type="dxa"/>
            <w:gridSpan w:val="6"/>
          </w:tcPr>
          <w:p w14:paraId="5D53084B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5178A">
              <w:rPr>
                <w:rFonts w:ascii="Times New Roman" w:hAnsi="Times New Roman" w:cs="Times New Roman"/>
                <w:lang w:val="ru-RU"/>
              </w:rPr>
              <w:t>Жінки</w:t>
            </w:r>
            <w:proofErr w:type="spellEnd"/>
          </w:p>
        </w:tc>
      </w:tr>
      <w:tr w:rsidR="00151749" w:rsidRPr="00F5178A" w14:paraId="5EC3FA60" w14:textId="77777777" w:rsidTr="00FC3C61">
        <w:tc>
          <w:tcPr>
            <w:tcW w:w="1557" w:type="dxa"/>
          </w:tcPr>
          <w:p w14:paraId="15AF0E7D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20-29</w:t>
            </w:r>
          </w:p>
        </w:tc>
        <w:tc>
          <w:tcPr>
            <w:tcW w:w="1557" w:type="dxa"/>
          </w:tcPr>
          <w:p w14:paraId="77CB90B9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&lt;</w:t>
            </w:r>
            <w:r w:rsidRPr="00F5178A">
              <w:rPr>
                <w:rFonts w:ascii="Times New Roman" w:hAnsi="Times New Roman" w:cs="Times New Roman"/>
                <w:lang w:val="ru-RU"/>
              </w:rPr>
              <w:t>449</w:t>
            </w:r>
          </w:p>
        </w:tc>
        <w:tc>
          <w:tcPr>
            <w:tcW w:w="1557" w:type="dxa"/>
          </w:tcPr>
          <w:p w14:paraId="577BF5B4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450-549</w:t>
            </w:r>
          </w:p>
        </w:tc>
        <w:tc>
          <w:tcPr>
            <w:tcW w:w="1558" w:type="dxa"/>
          </w:tcPr>
          <w:p w14:paraId="498DD4D4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550-749</w:t>
            </w:r>
          </w:p>
        </w:tc>
        <w:tc>
          <w:tcPr>
            <w:tcW w:w="1558" w:type="dxa"/>
          </w:tcPr>
          <w:p w14:paraId="612AAC12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750-849</w:t>
            </w:r>
          </w:p>
        </w:tc>
        <w:tc>
          <w:tcPr>
            <w:tcW w:w="1558" w:type="dxa"/>
          </w:tcPr>
          <w:p w14:paraId="3D180D53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&gt;850</w:t>
            </w:r>
          </w:p>
        </w:tc>
      </w:tr>
      <w:tr w:rsidR="00151749" w:rsidRPr="00F5178A" w14:paraId="11E62017" w14:textId="77777777" w:rsidTr="00FC3C61">
        <w:tc>
          <w:tcPr>
            <w:tcW w:w="1557" w:type="dxa"/>
          </w:tcPr>
          <w:p w14:paraId="1F690AD2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lastRenderedPageBreak/>
              <w:t>30-39</w:t>
            </w:r>
          </w:p>
        </w:tc>
        <w:tc>
          <w:tcPr>
            <w:tcW w:w="1557" w:type="dxa"/>
          </w:tcPr>
          <w:p w14:paraId="1BD0DAE1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&lt;</w:t>
            </w:r>
            <w:r w:rsidRPr="00F5178A">
              <w:rPr>
                <w:rFonts w:ascii="Times New Roman" w:hAnsi="Times New Roman" w:cs="Times New Roman"/>
                <w:lang w:val="ru-RU"/>
              </w:rPr>
              <w:t>349</w:t>
            </w:r>
          </w:p>
        </w:tc>
        <w:tc>
          <w:tcPr>
            <w:tcW w:w="1557" w:type="dxa"/>
          </w:tcPr>
          <w:p w14:paraId="3669B33E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400-499</w:t>
            </w:r>
          </w:p>
        </w:tc>
        <w:tc>
          <w:tcPr>
            <w:tcW w:w="1558" w:type="dxa"/>
          </w:tcPr>
          <w:p w14:paraId="100E32A2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500-699</w:t>
            </w:r>
          </w:p>
        </w:tc>
        <w:tc>
          <w:tcPr>
            <w:tcW w:w="1558" w:type="dxa"/>
          </w:tcPr>
          <w:p w14:paraId="0BB933EA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700-799</w:t>
            </w:r>
          </w:p>
        </w:tc>
        <w:tc>
          <w:tcPr>
            <w:tcW w:w="1558" w:type="dxa"/>
          </w:tcPr>
          <w:p w14:paraId="5B096149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&gt;800</w:t>
            </w:r>
          </w:p>
        </w:tc>
      </w:tr>
      <w:tr w:rsidR="00151749" w:rsidRPr="00F5178A" w14:paraId="7A491493" w14:textId="77777777" w:rsidTr="00FC3C61">
        <w:tc>
          <w:tcPr>
            <w:tcW w:w="1557" w:type="dxa"/>
          </w:tcPr>
          <w:p w14:paraId="4469BB6B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40-49</w:t>
            </w:r>
          </w:p>
        </w:tc>
        <w:tc>
          <w:tcPr>
            <w:tcW w:w="1557" w:type="dxa"/>
          </w:tcPr>
          <w:p w14:paraId="2747C007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&lt;</w:t>
            </w:r>
            <w:r w:rsidRPr="00F5178A">
              <w:rPr>
                <w:rFonts w:ascii="Times New Roman" w:hAnsi="Times New Roman" w:cs="Times New Roman"/>
                <w:lang w:val="ru-RU"/>
              </w:rPr>
              <w:t>249</w:t>
            </w:r>
          </w:p>
        </w:tc>
        <w:tc>
          <w:tcPr>
            <w:tcW w:w="1557" w:type="dxa"/>
          </w:tcPr>
          <w:p w14:paraId="069EA350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300-399</w:t>
            </w:r>
          </w:p>
        </w:tc>
        <w:tc>
          <w:tcPr>
            <w:tcW w:w="1558" w:type="dxa"/>
          </w:tcPr>
          <w:p w14:paraId="0EEBF494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400-599</w:t>
            </w:r>
          </w:p>
        </w:tc>
        <w:tc>
          <w:tcPr>
            <w:tcW w:w="1558" w:type="dxa"/>
          </w:tcPr>
          <w:p w14:paraId="0D12944E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600-699</w:t>
            </w:r>
          </w:p>
        </w:tc>
        <w:tc>
          <w:tcPr>
            <w:tcW w:w="1558" w:type="dxa"/>
          </w:tcPr>
          <w:p w14:paraId="1CD03334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&gt;700</w:t>
            </w:r>
          </w:p>
        </w:tc>
      </w:tr>
      <w:tr w:rsidR="00151749" w:rsidRPr="00F5178A" w14:paraId="756A0269" w14:textId="77777777" w:rsidTr="00FC3C61">
        <w:tc>
          <w:tcPr>
            <w:tcW w:w="1557" w:type="dxa"/>
          </w:tcPr>
          <w:p w14:paraId="60A73E91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50-59</w:t>
            </w:r>
          </w:p>
        </w:tc>
        <w:tc>
          <w:tcPr>
            <w:tcW w:w="1557" w:type="dxa"/>
          </w:tcPr>
          <w:p w14:paraId="0B182190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&lt;</w:t>
            </w:r>
            <w:r w:rsidRPr="00F5178A">
              <w:rPr>
                <w:rFonts w:ascii="Times New Roman" w:hAnsi="Times New Roman" w:cs="Times New Roman"/>
                <w:lang w:val="ru-RU"/>
              </w:rPr>
              <w:t>149</w:t>
            </w:r>
          </w:p>
        </w:tc>
        <w:tc>
          <w:tcPr>
            <w:tcW w:w="1557" w:type="dxa"/>
          </w:tcPr>
          <w:p w14:paraId="37CC3F78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200-299</w:t>
            </w:r>
          </w:p>
        </w:tc>
        <w:tc>
          <w:tcPr>
            <w:tcW w:w="1558" w:type="dxa"/>
          </w:tcPr>
          <w:p w14:paraId="31ABB43D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300-499</w:t>
            </w:r>
          </w:p>
        </w:tc>
        <w:tc>
          <w:tcPr>
            <w:tcW w:w="1558" w:type="dxa"/>
          </w:tcPr>
          <w:p w14:paraId="232E533E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500-599</w:t>
            </w:r>
          </w:p>
        </w:tc>
        <w:tc>
          <w:tcPr>
            <w:tcW w:w="1558" w:type="dxa"/>
          </w:tcPr>
          <w:p w14:paraId="433C2526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&gt;600</w:t>
            </w:r>
          </w:p>
        </w:tc>
      </w:tr>
      <w:tr w:rsidR="00151749" w:rsidRPr="00F5178A" w14:paraId="28DA9515" w14:textId="77777777" w:rsidTr="00FC3C61">
        <w:tc>
          <w:tcPr>
            <w:tcW w:w="9345" w:type="dxa"/>
            <w:gridSpan w:val="6"/>
          </w:tcPr>
          <w:p w14:paraId="7EEB6DA7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5178A">
              <w:rPr>
                <w:rFonts w:ascii="Times New Roman" w:hAnsi="Times New Roman" w:cs="Times New Roman"/>
                <w:lang w:val="ru-RU"/>
              </w:rPr>
              <w:t>Чоловіки</w:t>
            </w:r>
            <w:proofErr w:type="spellEnd"/>
          </w:p>
        </w:tc>
      </w:tr>
      <w:tr w:rsidR="00151749" w:rsidRPr="00F5178A" w14:paraId="1744E722" w14:textId="77777777" w:rsidTr="00FC3C61">
        <w:tc>
          <w:tcPr>
            <w:tcW w:w="1557" w:type="dxa"/>
          </w:tcPr>
          <w:p w14:paraId="64961261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20-29</w:t>
            </w:r>
          </w:p>
        </w:tc>
        <w:tc>
          <w:tcPr>
            <w:tcW w:w="1557" w:type="dxa"/>
          </w:tcPr>
          <w:p w14:paraId="6C4C0594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&lt;</w:t>
            </w:r>
            <w:r w:rsidRPr="00F5178A">
              <w:rPr>
                <w:rFonts w:ascii="Times New Roman" w:hAnsi="Times New Roman" w:cs="Times New Roman"/>
                <w:lang w:val="ru-RU"/>
              </w:rPr>
              <w:t>699</w:t>
            </w:r>
          </w:p>
        </w:tc>
        <w:tc>
          <w:tcPr>
            <w:tcW w:w="1557" w:type="dxa"/>
          </w:tcPr>
          <w:p w14:paraId="3B7EDFA6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700-849</w:t>
            </w:r>
          </w:p>
        </w:tc>
        <w:tc>
          <w:tcPr>
            <w:tcW w:w="1558" w:type="dxa"/>
          </w:tcPr>
          <w:p w14:paraId="0D56B7E7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850-1149</w:t>
            </w:r>
          </w:p>
        </w:tc>
        <w:tc>
          <w:tcPr>
            <w:tcW w:w="1558" w:type="dxa"/>
          </w:tcPr>
          <w:p w14:paraId="52D9CF2A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F5178A">
              <w:rPr>
                <w:rFonts w:ascii="Times New Roman" w:hAnsi="Times New Roman" w:cs="Times New Roman"/>
                <w:lang w:val="ru-RU"/>
              </w:rPr>
              <w:t>1150-1299</w:t>
            </w:r>
            <w:proofErr w:type="gramEnd"/>
          </w:p>
        </w:tc>
        <w:tc>
          <w:tcPr>
            <w:tcW w:w="1558" w:type="dxa"/>
          </w:tcPr>
          <w:p w14:paraId="08ED6B95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&gt;1300</w:t>
            </w:r>
          </w:p>
        </w:tc>
      </w:tr>
      <w:tr w:rsidR="00151749" w:rsidRPr="00F5178A" w14:paraId="33AEA795" w14:textId="77777777" w:rsidTr="00FC3C61">
        <w:tc>
          <w:tcPr>
            <w:tcW w:w="1557" w:type="dxa"/>
          </w:tcPr>
          <w:p w14:paraId="4963B913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30-39</w:t>
            </w:r>
          </w:p>
        </w:tc>
        <w:tc>
          <w:tcPr>
            <w:tcW w:w="1557" w:type="dxa"/>
          </w:tcPr>
          <w:p w14:paraId="11BFF0D0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&lt;</w:t>
            </w:r>
            <w:r w:rsidRPr="00F5178A">
              <w:rPr>
                <w:rFonts w:ascii="Times New Roman" w:hAnsi="Times New Roman" w:cs="Times New Roman"/>
                <w:lang w:val="ru-RU"/>
              </w:rPr>
              <w:t>599</w:t>
            </w:r>
          </w:p>
        </w:tc>
        <w:tc>
          <w:tcPr>
            <w:tcW w:w="1557" w:type="dxa"/>
          </w:tcPr>
          <w:p w14:paraId="0B86060D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600-749</w:t>
            </w:r>
          </w:p>
        </w:tc>
        <w:tc>
          <w:tcPr>
            <w:tcW w:w="1558" w:type="dxa"/>
          </w:tcPr>
          <w:p w14:paraId="2FA2D3D3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750-1049</w:t>
            </w:r>
          </w:p>
        </w:tc>
        <w:tc>
          <w:tcPr>
            <w:tcW w:w="1558" w:type="dxa"/>
          </w:tcPr>
          <w:p w14:paraId="14A51AD9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F5178A">
              <w:rPr>
                <w:rFonts w:ascii="Times New Roman" w:hAnsi="Times New Roman" w:cs="Times New Roman"/>
                <w:lang w:val="ru-RU"/>
              </w:rPr>
              <w:t>1050-1199</w:t>
            </w:r>
            <w:proofErr w:type="gramEnd"/>
          </w:p>
        </w:tc>
        <w:tc>
          <w:tcPr>
            <w:tcW w:w="1558" w:type="dxa"/>
          </w:tcPr>
          <w:p w14:paraId="1D03BE77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&gt;1100</w:t>
            </w:r>
          </w:p>
        </w:tc>
      </w:tr>
      <w:tr w:rsidR="00151749" w:rsidRPr="00F5178A" w14:paraId="251FFFBA" w14:textId="77777777" w:rsidTr="00FC3C61">
        <w:tc>
          <w:tcPr>
            <w:tcW w:w="1557" w:type="dxa"/>
          </w:tcPr>
          <w:p w14:paraId="4E5FDC7D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40-49</w:t>
            </w:r>
          </w:p>
        </w:tc>
        <w:tc>
          <w:tcPr>
            <w:tcW w:w="1557" w:type="dxa"/>
          </w:tcPr>
          <w:p w14:paraId="4E9A8DB0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&lt;</w:t>
            </w:r>
            <w:r w:rsidRPr="00F5178A">
              <w:rPr>
                <w:rFonts w:ascii="Times New Roman" w:hAnsi="Times New Roman" w:cs="Times New Roman"/>
                <w:lang w:val="ru-RU"/>
              </w:rPr>
              <w:t>499</w:t>
            </w:r>
          </w:p>
        </w:tc>
        <w:tc>
          <w:tcPr>
            <w:tcW w:w="1557" w:type="dxa"/>
          </w:tcPr>
          <w:p w14:paraId="1A3A7075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500-649</w:t>
            </w:r>
          </w:p>
        </w:tc>
        <w:tc>
          <w:tcPr>
            <w:tcW w:w="1558" w:type="dxa"/>
          </w:tcPr>
          <w:p w14:paraId="4EF8F1F9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650-949</w:t>
            </w:r>
          </w:p>
        </w:tc>
        <w:tc>
          <w:tcPr>
            <w:tcW w:w="1558" w:type="dxa"/>
          </w:tcPr>
          <w:p w14:paraId="3F67C382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950-1099</w:t>
            </w:r>
          </w:p>
        </w:tc>
        <w:tc>
          <w:tcPr>
            <w:tcW w:w="1558" w:type="dxa"/>
          </w:tcPr>
          <w:p w14:paraId="0AC43B34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&gt;1000</w:t>
            </w:r>
          </w:p>
        </w:tc>
      </w:tr>
      <w:tr w:rsidR="00151749" w:rsidRPr="00F5178A" w14:paraId="52CF2647" w14:textId="77777777" w:rsidTr="00FC3C61">
        <w:tc>
          <w:tcPr>
            <w:tcW w:w="1557" w:type="dxa"/>
          </w:tcPr>
          <w:p w14:paraId="57A24122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50-59</w:t>
            </w:r>
          </w:p>
        </w:tc>
        <w:tc>
          <w:tcPr>
            <w:tcW w:w="1557" w:type="dxa"/>
          </w:tcPr>
          <w:p w14:paraId="06A9A8E5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&lt;</w:t>
            </w:r>
            <w:r w:rsidRPr="00F5178A">
              <w:rPr>
                <w:rFonts w:ascii="Times New Roman" w:hAnsi="Times New Roman" w:cs="Times New Roman"/>
                <w:lang w:val="ru-RU"/>
              </w:rPr>
              <w:t>399</w:t>
            </w:r>
          </w:p>
        </w:tc>
        <w:tc>
          <w:tcPr>
            <w:tcW w:w="1557" w:type="dxa"/>
          </w:tcPr>
          <w:p w14:paraId="35C1101D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400-549</w:t>
            </w:r>
          </w:p>
        </w:tc>
        <w:tc>
          <w:tcPr>
            <w:tcW w:w="1558" w:type="dxa"/>
          </w:tcPr>
          <w:p w14:paraId="4A9407D8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550-849</w:t>
            </w:r>
          </w:p>
        </w:tc>
        <w:tc>
          <w:tcPr>
            <w:tcW w:w="1558" w:type="dxa"/>
          </w:tcPr>
          <w:p w14:paraId="2BFDC51C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850-999</w:t>
            </w:r>
          </w:p>
        </w:tc>
        <w:tc>
          <w:tcPr>
            <w:tcW w:w="1558" w:type="dxa"/>
          </w:tcPr>
          <w:p w14:paraId="417F7C44" w14:textId="77777777" w:rsidR="00151749" w:rsidRPr="00F5178A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178A">
              <w:rPr>
                <w:rFonts w:ascii="Times New Roman" w:hAnsi="Times New Roman" w:cs="Times New Roman"/>
                <w:lang w:val="ru-RU"/>
              </w:rPr>
              <w:t>&gt;900</w:t>
            </w:r>
          </w:p>
        </w:tc>
      </w:tr>
      <w:bookmarkEnd w:id="1"/>
    </w:tbl>
    <w:p w14:paraId="6FFC4902" w14:textId="77777777" w:rsidR="00151749" w:rsidRDefault="00151749" w:rsidP="0015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</w:p>
    <w:p w14:paraId="3C89BC0D" w14:textId="77777777" w:rsidR="00151749" w:rsidRPr="00735BF1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C00000"/>
          <w:sz w:val="28"/>
          <w:szCs w:val="28"/>
        </w:rPr>
      </w:pP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зазначити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вплив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спортивної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кваліфікації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спрямованість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тренувального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процесу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фізичну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працездатність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Так, у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представників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видів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спорту,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тренуються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витривалість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PWC170 на </w:t>
      </w:r>
      <w:proofErr w:type="gram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60-70</w:t>
      </w:r>
      <w:proofErr w:type="gram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%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більше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ніж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займаються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спортом. </w:t>
      </w:r>
    </w:p>
    <w:p w14:paraId="0B000EF9" w14:textId="77777777" w:rsidR="00151749" w:rsidRPr="00916047" w:rsidRDefault="00151749" w:rsidP="001517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 w:rsidRPr="00916047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Гарвардський</w:t>
      </w:r>
      <w:proofErr w:type="spellEnd"/>
      <w:r w:rsidRPr="00916047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степ-тест</w:t>
      </w:r>
    </w:p>
    <w:p w14:paraId="1C4B2E8A" w14:textId="51E37F68" w:rsidR="00151749" w:rsidRPr="00916047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Гарвардський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степ-тест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був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запропонован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ий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вченими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Гарвардського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університету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1942 р. для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обстеження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юнаків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направлялися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службу у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Збройні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сили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Гарвардський</w:t>
      </w:r>
      <w:proofErr w:type="spellEnd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степ-тест </w:t>
      </w:r>
      <w:proofErr w:type="spellStart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використовують</w:t>
      </w:r>
      <w:proofErr w:type="spellEnd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для</w:t>
      </w:r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визначення</w:t>
      </w:r>
      <w:proofErr w:type="spellEnd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фізичної</w:t>
      </w:r>
      <w:proofErr w:type="spellEnd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працездатності</w:t>
      </w:r>
      <w:proofErr w:type="spellEnd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тобто</w:t>
      </w:r>
      <w:proofErr w:type="spellEnd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для </w:t>
      </w:r>
      <w:proofErr w:type="spellStart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оцінки</w:t>
      </w:r>
      <w:proofErr w:type="spellEnd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адаптаційної</w:t>
      </w:r>
      <w:proofErr w:type="spellEnd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спроможності</w:t>
      </w:r>
      <w:proofErr w:type="spellEnd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організму</w:t>
      </w:r>
      <w:proofErr w:type="spellEnd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людини</w:t>
      </w:r>
      <w:proofErr w:type="spellEnd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до </w:t>
      </w:r>
      <w:proofErr w:type="spellStart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фізичних</w:t>
      </w:r>
      <w:proofErr w:type="spellEnd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навантажень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Цей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тест засновано на </w:t>
      </w:r>
      <w:proofErr w:type="spellStart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реєстрації</w:t>
      </w:r>
      <w:proofErr w:type="spellEnd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ЧСС </w:t>
      </w:r>
      <w:proofErr w:type="spellStart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після</w:t>
      </w:r>
      <w:proofErr w:type="spellEnd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дозованого</w:t>
      </w:r>
      <w:proofErr w:type="spellEnd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фізичного</w:t>
      </w:r>
      <w:proofErr w:type="spellEnd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навантаження</w:t>
      </w:r>
      <w:proofErr w:type="spellEnd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і </w:t>
      </w:r>
      <w:proofErr w:type="spellStart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надає</w:t>
      </w:r>
      <w:proofErr w:type="spellEnd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можливість</w:t>
      </w:r>
      <w:proofErr w:type="spellEnd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визначити</w:t>
      </w:r>
      <w:proofErr w:type="spellEnd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характер </w:t>
      </w:r>
      <w:proofErr w:type="spellStart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перебігу</w:t>
      </w:r>
      <w:proofErr w:type="spellEnd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відновних</w:t>
      </w:r>
      <w:proofErr w:type="spellEnd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процесів</w:t>
      </w:r>
      <w:proofErr w:type="spellEnd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в </w:t>
      </w:r>
      <w:proofErr w:type="spellStart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організмі</w:t>
      </w:r>
      <w:proofErr w:type="spellEnd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людини</w:t>
      </w:r>
      <w:proofErr w:type="spellEnd"/>
      <w:r w:rsidRPr="001A3D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bookmarkStart w:id="2" w:name="_Hlk148177099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таблиці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475D75" w:rsidRPr="00475D75">
        <w:rPr>
          <w:rFonts w:ascii="Times New Roman" w:eastAsia="TimesNewRoman" w:hAnsi="Times New Roman" w:cs="Times New Roman"/>
          <w:color w:val="000000"/>
          <w:sz w:val="28"/>
          <w:szCs w:val="28"/>
        </w:rPr>
        <w:t>3</w:t>
      </w:r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наведені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дані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щодо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висоти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сходинки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час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сходження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виконанні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Гарвардського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степ-тесту з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врахуванням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контингенту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обстежених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віком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статтю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B4533EF" w14:textId="2FB07FC9" w:rsidR="00151749" w:rsidRPr="00904204" w:rsidRDefault="00151749" w:rsidP="0015174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Таблиця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475D75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3</w:t>
      </w:r>
    </w:p>
    <w:p w14:paraId="78E61C75" w14:textId="77777777" w:rsidR="00151749" w:rsidRPr="00916047" w:rsidRDefault="00151749" w:rsidP="0015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Висота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сходинки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термін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сходження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проведенні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Гарвардського</w:t>
      </w:r>
      <w:proofErr w:type="spellEnd"/>
    </w:p>
    <w:p w14:paraId="2EDE9D08" w14:textId="77777777" w:rsidR="00151749" w:rsidRDefault="00151749" w:rsidP="0015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степ-тесу в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різних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групах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обстежених</w:t>
      </w:r>
      <w:proofErr w:type="spellEnd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6047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2551"/>
        <w:gridCol w:w="1979"/>
      </w:tblGrid>
      <w:tr w:rsidR="00151749" w14:paraId="3CBD2111" w14:textId="77777777" w:rsidTr="00FC3C61">
        <w:tc>
          <w:tcPr>
            <w:tcW w:w="4815" w:type="dxa"/>
          </w:tcPr>
          <w:p w14:paraId="2D3AFE5E" w14:textId="77777777" w:rsidR="00151749" w:rsidRPr="0057354B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Групи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обсежених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осіб</w:t>
            </w:r>
            <w:proofErr w:type="spellEnd"/>
          </w:p>
        </w:tc>
        <w:tc>
          <w:tcPr>
            <w:tcW w:w="2551" w:type="dxa"/>
          </w:tcPr>
          <w:p w14:paraId="4B3D3A68" w14:textId="77777777" w:rsidR="00151749" w:rsidRPr="00221EB6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сходинки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, см</w:t>
            </w:r>
          </w:p>
        </w:tc>
        <w:tc>
          <w:tcPr>
            <w:tcW w:w="1979" w:type="dxa"/>
          </w:tcPr>
          <w:p w14:paraId="06F694F5" w14:textId="77777777" w:rsidR="00151749" w:rsidRPr="00221EB6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Час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сходження</w:t>
            </w:r>
            <w:proofErr w:type="spellEnd"/>
          </w:p>
        </w:tc>
      </w:tr>
      <w:tr w:rsidR="00151749" w14:paraId="46E42711" w14:textId="77777777" w:rsidTr="00FC3C61">
        <w:tc>
          <w:tcPr>
            <w:tcW w:w="4815" w:type="dxa"/>
          </w:tcPr>
          <w:p w14:paraId="3EAA6D81" w14:textId="77777777" w:rsidR="00151749" w:rsidRPr="0057354B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Чоловіки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18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років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більше</w:t>
            </w:r>
            <w:proofErr w:type="spellEnd"/>
          </w:p>
        </w:tc>
        <w:tc>
          <w:tcPr>
            <w:tcW w:w="2551" w:type="dxa"/>
          </w:tcPr>
          <w:p w14:paraId="2B37D005" w14:textId="77777777" w:rsidR="00151749" w:rsidRPr="00221EB6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1979" w:type="dxa"/>
          </w:tcPr>
          <w:p w14:paraId="173427B6" w14:textId="77777777" w:rsidR="00151749" w:rsidRPr="00221EB6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</w:tr>
      <w:tr w:rsidR="00151749" w14:paraId="450B19F8" w14:textId="77777777" w:rsidTr="00FC3C61">
        <w:tc>
          <w:tcPr>
            <w:tcW w:w="4815" w:type="dxa"/>
          </w:tcPr>
          <w:p w14:paraId="39BB88A0" w14:textId="77777777" w:rsidR="00151749" w:rsidRPr="0057354B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Жінки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18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років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більше</w:t>
            </w:r>
            <w:proofErr w:type="spellEnd"/>
          </w:p>
        </w:tc>
        <w:tc>
          <w:tcPr>
            <w:tcW w:w="2551" w:type="dxa"/>
          </w:tcPr>
          <w:p w14:paraId="6A75269B" w14:textId="77777777" w:rsidR="00151749" w:rsidRPr="00221EB6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43</w:t>
            </w:r>
          </w:p>
        </w:tc>
        <w:tc>
          <w:tcPr>
            <w:tcW w:w="1979" w:type="dxa"/>
          </w:tcPr>
          <w:p w14:paraId="2B570943" w14:textId="77777777" w:rsidR="00151749" w:rsidRPr="00221EB6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</w:tr>
      <w:tr w:rsidR="00151749" w14:paraId="4737A76C" w14:textId="77777777" w:rsidTr="00FC3C61">
        <w:tc>
          <w:tcPr>
            <w:tcW w:w="4815" w:type="dxa"/>
          </w:tcPr>
          <w:p w14:paraId="55F015A3" w14:textId="77777777" w:rsidR="00151749" w:rsidRPr="0057354B" w:rsidRDefault="00151749" w:rsidP="00FC3C61">
            <w:pPr>
              <w:jc w:val="center"/>
              <w:rPr>
                <w:rFonts w:ascii="Times New Roman" w:hAnsi="Times New Roman" w:cs="Times New Roman"/>
              </w:rPr>
            </w:pPr>
            <w:r w:rsidRPr="0057354B">
              <w:rPr>
                <w:rFonts w:ascii="Times New Roman" w:hAnsi="Times New Roman" w:cs="Times New Roman"/>
              </w:rPr>
              <w:t xml:space="preserve">Юнаки і </w:t>
            </w:r>
            <w:proofErr w:type="spellStart"/>
            <w:r w:rsidRPr="0057354B">
              <w:rPr>
                <w:rFonts w:ascii="Times New Roman" w:hAnsi="Times New Roman" w:cs="Times New Roman"/>
              </w:rPr>
              <w:t>підлітки</w:t>
            </w:r>
            <w:proofErr w:type="spellEnd"/>
            <w:r w:rsidRPr="0057354B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57354B">
              <w:rPr>
                <w:rFonts w:ascii="Times New Roman" w:hAnsi="Times New Roman" w:cs="Times New Roman"/>
              </w:rPr>
              <w:t>12-18</w:t>
            </w:r>
            <w:proofErr w:type="gramEnd"/>
            <w:r w:rsidRPr="005735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354B">
              <w:rPr>
                <w:rFonts w:ascii="Times New Roman" w:hAnsi="Times New Roman" w:cs="Times New Roman"/>
              </w:rPr>
              <w:t>років</w:t>
            </w:r>
            <w:proofErr w:type="spellEnd"/>
            <w:r w:rsidRPr="0057354B">
              <w:rPr>
                <w:rFonts w:ascii="Times New Roman" w:hAnsi="Times New Roman" w:cs="Times New Roman"/>
              </w:rPr>
              <w:t xml:space="preserve">) з </w:t>
            </w:r>
            <w:proofErr w:type="spellStart"/>
            <w:r w:rsidRPr="0057354B">
              <w:rPr>
                <w:rFonts w:ascii="Times New Roman" w:hAnsi="Times New Roman" w:cs="Times New Roman"/>
              </w:rPr>
              <w:t>поверхнею</w:t>
            </w:r>
            <w:proofErr w:type="spellEnd"/>
            <w:r w:rsidRPr="005735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354B">
              <w:rPr>
                <w:rFonts w:ascii="Times New Roman" w:hAnsi="Times New Roman" w:cs="Times New Roman"/>
              </w:rPr>
              <w:t>тіла</w:t>
            </w:r>
            <w:proofErr w:type="spellEnd"/>
            <w:r w:rsidRPr="005735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354B">
              <w:rPr>
                <w:rFonts w:ascii="Times New Roman" w:hAnsi="Times New Roman" w:cs="Times New Roman"/>
              </w:rPr>
              <w:t>більше</w:t>
            </w:r>
            <w:proofErr w:type="spellEnd"/>
            <w:r w:rsidRPr="005735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354B">
              <w:rPr>
                <w:rFonts w:ascii="Times New Roman" w:hAnsi="Times New Roman" w:cs="Times New Roman"/>
              </w:rPr>
              <w:t>ніж</w:t>
            </w:r>
            <w:proofErr w:type="spellEnd"/>
            <w:r w:rsidRPr="0057354B">
              <w:rPr>
                <w:rFonts w:ascii="Times New Roman" w:hAnsi="Times New Roman" w:cs="Times New Roman"/>
              </w:rPr>
              <w:t xml:space="preserve"> 1.85 м</w:t>
            </w:r>
            <w:r>
              <w:rPr>
                <w:rFonts w:ascii="Times New Roman" w:hAnsi="Times New Roman" w:cs="Times New Roman"/>
              </w:rPr>
              <w:t>²</w:t>
            </w:r>
          </w:p>
        </w:tc>
        <w:tc>
          <w:tcPr>
            <w:tcW w:w="2551" w:type="dxa"/>
          </w:tcPr>
          <w:p w14:paraId="767AE02F" w14:textId="77777777" w:rsidR="00151749" w:rsidRPr="00221EB6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1979" w:type="dxa"/>
          </w:tcPr>
          <w:p w14:paraId="62F76056" w14:textId="77777777" w:rsidR="00151749" w:rsidRPr="00221EB6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151749" w14:paraId="5CC318C3" w14:textId="77777777" w:rsidTr="00FC3C61">
        <w:tc>
          <w:tcPr>
            <w:tcW w:w="4815" w:type="dxa"/>
          </w:tcPr>
          <w:p w14:paraId="3D1EAE74" w14:textId="77777777" w:rsidR="00151749" w:rsidRDefault="00151749" w:rsidP="00FC3C61">
            <w:pPr>
              <w:jc w:val="center"/>
              <w:rPr>
                <w:rFonts w:ascii="Times New Roman" w:hAnsi="Times New Roman" w:cs="Times New Roman"/>
              </w:rPr>
            </w:pPr>
            <w:r w:rsidRPr="0057354B">
              <w:rPr>
                <w:rFonts w:ascii="Times New Roman" w:hAnsi="Times New Roman" w:cs="Times New Roman"/>
              </w:rPr>
              <w:t xml:space="preserve">Юнаки і </w:t>
            </w:r>
            <w:proofErr w:type="spellStart"/>
            <w:r w:rsidRPr="0057354B">
              <w:rPr>
                <w:rFonts w:ascii="Times New Roman" w:hAnsi="Times New Roman" w:cs="Times New Roman"/>
              </w:rPr>
              <w:t>підлітки</w:t>
            </w:r>
            <w:proofErr w:type="spellEnd"/>
            <w:r w:rsidRPr="0057354B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57354B">
              <w:rPr>
                <w:rFonts w:ascii="Times New Roman" w:hAnsi="Times New Roman" w:cs="Times New Roman"/>
              </w:rPr>
              <w:t>12-18</w:t>
            </w:r>
            <w:proofErr w:type="gramEnd"/>
            <w:r w:rsidRPr="005735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354B">
              <w:rPr>
                <w:rFonts w:ascii="Times New Roman" w:hAnsi="Times New Roman" w:cs="Times New Roman"/>
              </w:rPr>
              <w:t>років</w:t>
            </w:r>
            <w:proofErr w:type="spellEnd"/>
            <w:r w:rsidRPr="0057354B">
              <w:rPr>
                <w:rFonts w:ascii="Times New Roman" w:hAnsi="Times New Roman" w:cs="Times New Roman"/>
              </w:rPr>
              <w:t xml:space="preserve">) з </w:t>
            </w:r>
            <w:proofErr w:type="spellStart"/>
            <w:r w:rsidRPr="0057354B">
              <w:rPr>
                <w:rFonts w:ascii="Times New Roman" w:hAnsi="Times New Roman" w:cs="Times New Roman"/>
              </w:rPr>
              <w:t>поверхнею</w:t>
            </w:r>
            <w:proofErr w:type="spellEnd"/>
            <w:r w:rsidRPr="005735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354B">
              <w:rPr>
                <w:rFonts w:ascii="Times New Roman" w:hAnsi="Times New Roman" w:cs="Times New Roman"/>
              </w:rPr>
              <w:t>тіла</w:t>
            </w:r>
            <w:proofErr w:type="spellEnd"/>
            <w:r w:rsidRPr="005735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354B">
              <w:rPr>
                <w:rFonts w:ascii="Times New Roman" w:hAnsi="Times New Roman" w:cs="Times New Roman"/>
              </w:rPr>
              <w:t>меншою</w:t>
            </w:r>
            <w:proofErr w:type="spellEnd"/>
            <w:r w:rsidRPr="005735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354B">
              <w:rPr>
                <w:rFonts w:ascii="Times New Roman" w:hAnsi="Times New Roman" w:cs="Times New Roman"/>
              </w:rPr>
              <w:t>ніж</w:t>
            </w:r>
            <w:proofErr w:type="spellEnd"/>
            <w:r w:rsidRPr="0057354B">
              <w:rPr>
                <w:rFonts w:ascii="Times New Roman" w:hAnsi="Times New Roman" w:cs="Times New Roman"/>
              </w:rPr>
              <w:t xml:space="preserve"> 1.85 м</w:t>
            </w:r>
            <w:r>
              <w:rPr>
                <w:rFonts w:ascii="Times New Roman" w:hAnsi="Times New Roman" w:cs="Times New Roman"/>
              </w:rPr>
              <w:t>²</w:t>
            </w:r>
          </w:p>
        </w:tc>
        <w:tc>
          <w:tcPr>
            <w:tcW w:w="2551" w:type="dxa"/>
          </w:tcPr>
          <w:p w14:paraId="5D177846" w14:textId="77777777" w:rsidR="00151749" w:rsidRPr="00221EB6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45</w:t>
            </w:r>
          </w:p>
        </w:tc>
        <w:tc>
          <w:tcPr>
            <w:tcW w:w="1979" w:type="dxa"/>
          </w:tcPr>
          <w:p w14:paraId="686DF0FD" w14:textId="77777777" w:rsidR="00151749" w:rsidRPr="00221EB6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151749" w14:paraId="6DEF26BB" w14:textId="77777777" w:rsidTr="00FC3C61">
        <w:tc>
          <w:tcPr>
            <w:tcW w:w="4815" w:type="dxa"/>
          </w:tcPr>
          <w:p w14:paraId="4399DE89" w14:textId="77777777" w:rsidR="00151749" w:rsidRPr="0057354B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Дівчата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віці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12-18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років</w:t>
            </w:r>
            <w:proofErr w:type="spellEnd"/>
          </w:p>
        </w:tc>
        <w:tc>
          <w:tcPr>
            <w:tcW w:w="2551" w:type="dxa"/>
          </w:tcPr>
          <w:p w14:paraId="00FB049E" w14:textId="77777777" w:rsidR="00151749" w:rsidRPr="00221EB6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1979" w:type="dxa"/>
          </w:tcPr>
          <w:p w14:paraId="38ECC284" w14:textId="77777777" w:rsidR="00151749" w:rsidRPr="00221EB6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151749" w14:paraId="2A35D938" w14:textId="77777777" w:rsidTr="00FC3C61">
        <w:tc>
          <w:tcPr>
            <w:tcW w:w="4815" w:type="dxa"/>
          </w:tcPr>
          <w:p w14:paraId="0AADC501" w14:textId="77777777" w:rsidR="00151749" w:rsidRPr="0057354B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Хлопчаки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дівчатка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8-12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років</w:t>
            </w:r>
            <w:proofErr w:type="spellEnd"/>
          </w:p>
        </w:tc>
        <w:tc>
          <w:tcPr>
            <w:tcW w:w="2551" w:type="dxa"/>
          </w:tcPr>
          <w:p w14:paraId="476B6E96" w14:textId="77777777" w:rsidR="00151749" w:rsidRPr="00221EB6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</w:t>
            </w:r>
          </w:p>
        </w:tc>
        <w:tc>
          <w:tcPr>
            <w:tcW w:w="1979" w:type="dxa"/>
          </w:tcPr>
          <w:p w14:paraId="7F7E454F" w14:textId="77777777" w:rsidR="00151749" w:rsidRPr="00221EB6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151749" w14:paraId="4F31BEE8" w14:textId="77777777" w:rsidTr="00FC3C61">
        <w:tc>
          <w:tcPr>
            <w:tcW w:w="4815" w:type="dxa"/>
          </w:tcPr>
          <w:p w14:paraId="6EDAF403" w14:textId="77777777" w:rsidR="00151749" w:rsidRDefault="00151749" w:rsidP="00FC3C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Хлопчаки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дівчатка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до 8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років</w:t>
            </w:r>
            <w:proofErr w:type="spellEnd"/>
          </w:p>
        </w:tc>
        <w:tc>
          <w:tcPr>
            <w:tcW w:w="2551" w:type="dxa"/>
          </w:tcPr>
          <w:p w14:paraId="60CFF98B" w14:textId="77777777" w:rsidR="00151749" w:rsidRPr="00221EB6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</w:t>
            </w:r>
          </w:p>
        </w:tc>
        <w:tc>
          <w:tcPr>
            <w:tcW w:w="1979" w:type="dxa"/>
          </w:tcPr>
          <w:p w14:paraId="25A53D69" w14:textId="77777777" w:rsidR="00151749" w:rsidRPr="00221EB6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</w:tbl>
    <w:p w14:paraId="4275BB59" w14:textId="77777777" w:rsidR="00151749" w:rsidRDefault="00151749" w:rsidP="00151749">
      <w:pPr>
        <w:jc w:val="center"/>
        <w:rPr>
          <w:rFonts w:ascii="Times New Roman" w:hAnsi="Times New Roman" w:cs="Times New Roman"/>
        </w:rPr>
      </w:pPr>
    </w:p>
    <w:bookmarkEnd w:id="2"/>
    <w:p w14:paraId="39A122D8" w14:textId="77777777" w:rsidR="00151749" w:rsidRPr="0037549B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lastRenderedPageBreak/>
        <w:t>П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еревагою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тесту є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методична простота,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доступність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відносно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дозованого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можливість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кількісної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отриманих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результатів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дослідження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75C28651" w14:textId="77777777" w:rsidR="00151749" w:rsidRPr="0037549B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тесту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мати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таке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обладнання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сходинки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різної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висоти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секундомір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, метроном.</w:t>
      </w:r>
    </w:p>
    <w:p w14:paraId="42A7C710" w14:textId="77777777" w:rsidR="00151749" w:rsidRPr="00904204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37549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Методика </w:t>
      </w:r>
      <w:proofErr w:type="spellStart"/>
      <w:r w:rsidRPr="0037549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проведення</w:t>
      </w:r>
      <w:proofErr w:type="spellEnd"/>
      <w:r w:rsidRPr="0037549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Гарвардського</w:t>
      </w:r>
      <w:proofErr w:type="spellEnd"/>
      <w:r w:rsidRPr="0037549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степ-тесту</w:t>
      </w:r>
      <w:r w:rsidRPr="0037549B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.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Фізичне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задається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особі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вигляді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сходження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сходинку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Висота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сходинки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час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м'язової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роботи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залежать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статі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досліджуваного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тестування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особі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пропонується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робити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підйоми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сходинку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заданому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темпі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з частотою </w:t>
      </w:r>
      <w:r w:rsidRPr="0037549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30 </w:t>
      </w:r>
      <w:proofErr w:type="spellStart"/>
      <w:r w:rsidRPr="0037549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разів</w:t>
      </w:r>
      <w:proofErr w:type="spellEnd"/>
      <w:r w:rsidRPr="0037549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за 1 </w:t>
      </w:r>
      <w:proofErr w:type="spellStart"/>
      <w:r w:rsidRPr="0037549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хв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Темп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рухів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задається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метрономом, частоту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якого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встановлюють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r w:rsidRPr="0037549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120 </w:t>
      </w:r>
      <w:proofErr w:type="gramStart"/>
      <w:r w:rsidRPr="0037549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уд./</w:t>
      </w:r>
      <w:proofErr w:type="spellStart"/>
      <w:proofErr w:type="gramEnd"/>
      <w:r w:rsidRPr="0037549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хв</w:t>
      </w:r>
      <w:proofErr w:type="spellEnd"/>
      <w:r w:rsidRPr="0037549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Підйом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спуск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складаються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чотирьох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рухів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кожному з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яких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відповідає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один удар метронома: 1-ий удар –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досліджуваний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ставить на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сходинку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одну ногу, 2-ий – ставить на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сходинку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другу ногу, 3-ій – ставить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назад на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підлогу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ногу, з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якої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почав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сходження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4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ий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удар – ставить на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підлогу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другу ногу. У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стоячи на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сходинці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ноги м</w:t>
      </w:r>
      <w:proofErr w:type="spellStart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аю</w:t>
      </w:r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ть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бути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прямі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тулуб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повинен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знаходитися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строго вертикальному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підйому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спуску руки особи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виконують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звичайні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ходьби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рухи. При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тесту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можна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кілька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разів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перемінити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ногу, з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якої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людина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починає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підйом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Перед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проведенням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Гарвардського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степ-тесту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досліджуваного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варто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ознайомити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технікою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надати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йому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можливість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зробити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кілька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пробних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підйомів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сходинку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У тих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випадках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коли особа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припиняє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роботу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раніше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зазначеного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часу,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фіксується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той час,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якого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виконувалася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фізична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робота.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Якщо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через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втому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досліджуваний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підтримувати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заданий темп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20 сек.,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тесту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припиняється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, а при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розрахунку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враховують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фактичний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тестування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досліджуваний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відпочиває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сидячи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Починаючи</w:t>
      </w:r>
      <w:proofErr w:type="spellEnd"/>
      <w:r w:rsidRPr="00CA797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другої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хвилини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відновного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періоду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особи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тричі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30-секундні</w:t>
      </w:r>
      <w:r w:rsidRPr="00CA797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відрізки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часу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підраховують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ЧСС, а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саме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з 60-ої до 90-ої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відновлюваного</w:t>
      </w:r>
      <w:proofErr w:type="spellEnd"/>
      <w:r w:rsidRPr="00CA797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періоду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з 120-ої до 150-ої і з 180-ої до 210-ої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секунди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Значення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цих</w:t>
      </w:r>
      <w:proofErr w:type="spellEnd"/>
      <w:r w:rsidRPr="004512A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трьох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підрахунків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підсумовується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збільшується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у</w:t>
      </w:r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 (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 за 1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.).</w:t>
      </w:r>
      <w:r w:rsidRPr="004512A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bookmarkStart w:id="3" w:name="_Hlk148177313"/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Результати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працездатності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вищезазначеним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навантажувальним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тестуванням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представляють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умовних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одиницях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вигляді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53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індексу</w:t>
      </w:r>
      <w:proofErr w:type="spellEnd"/>
      <w:r w:rsidRPr="004753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753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Гарвардського</w:t>
      </w:r>
      <w:proofErr w:type="spellEnd"/>
      <w:r w:rsidRPr="004753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степ-тесту (ІГСТ).</w:t>
      </w:r>
    </w:p>
    <w:p w14:paraId="398C918C" w14:textId="77777777" w:rsidR="00151749" w:rsidRPr="0034561B" w:rsidRDefault="00151749" w:rsidP="001517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34561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ІГСТ = </w:t>
      </w:r>
      <w:r w:rsidRPr="0034561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(Т х </w:t>
      </w:r>
      <w:r w:rsidRPr="0034561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100</w:t>
      </w:r>
      <w:proofErr w:type="gramStart"/>
      <w:r w:rsidRPr="0034561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) :</w:t>
      </w:r>
      <w:proofErr w:type="gramEnd"/>
      <w:r w:rsidRPr="0034561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(ЧСС</w:t>
      </w:r>
      <w:r w:rsidRPr="0034561B">
        <w:rPr>
          <w:rFonts w:ascii="Times New Roman" w:eastAsia="TimesNewRoman" w:hAnsi="Times New Roman" w:cs="Times New Roman"/>
          <w:b/>
          <w:bCs/>
          <w:color w:val="000000"/>
          <w:sz w:val="20"/>
          <w:szCs w:val="20"/>
          <w:lang w:val="ru-RU"/>
        </w:rPr>
        <w:t>1</w:t>
      </w:r>
      <w:r w:rsidRPr="0034561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+ЧСС</w:t>
      </w:r>
      <w:r w:rsidRPr="0034561B">
        <w:rPr>
          <w:rFonts w:ascii="Times New Roman" w:eastAsia="TimesNewRoman" w:hAnsi="Times New Roman" w:cs="Times New Roman"/>
          <w:b/>
          <w:bCs/>
          <w:color w:val="000000"/>
          <w:sz w:val="20"/>
          <w:szCs w:val="20"/>
          <w:lang w:val="ru-RU"/>
        </w:rPr>
        <w:t>2</w:t>
      </w:r>
      <w:r w:rsidRPr="0034561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+ЧСС</w:t>
      </w:r>
      <w:r w:rsidRPr="0034561B">
        <w:rPr>
          <w:rFonts w:ascii="Times New Roman" w:eastAsia="TimesNewRoman" w:hAnsi="Times New Roman" w:cs="Times New Roman"/>
          <w:b/>
          <w:bCs/>
          <w:color w:val="000000"/>
          <w:sz w:val="20"/>
          <w:szCs w:val="20"/>
          <w:lang w:val="ru-RU"/>
        </w:rPr>
        <w:t>3</w:t>
      </w:r>
      <w:r w:rsidRPr="0034561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) Х2</w:t>
      </w:r>
    </w:p>
    <w:p w14:paraId="60B86E71" w14:textId="77777777" w:rsidR="00151749" w:rsidRPr="0037549B" w:rsidRDefault="00151749" w:rsidP="001517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де ІГСТ –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індекс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Гарвардського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степ-тесту, </w:t>
      </w:r>
      <w:r w:rsidRPr="0037549B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t </w:t>
      </w:r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– час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сходження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сходинку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заданому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темпі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секундах (при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повністю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виконаному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5-хвилинному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300 сек.), </w:t>
      </w:r>
      <w:r w:rsidRPr="0037549B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f1, f2, f3 </w:t>
      </w:r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– частота пульсу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перші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30 с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2, 3, і 4-ій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відновного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періоду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1E71C2F0" w14:textId="77777777" w:rsidR="00151749" w:rsidRDefault="00151749" w:rsidP="0015174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випадку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коли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обстежувана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особа через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стомлення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завчасно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припиняє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сходження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розрахунок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ІГСТ проводиться за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скороченою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формулою:</w:t>
      </w:r>
    </w:p>
    <w:p w14:paraId="0D503B85" w14:textId="77777777" w:rsidR="00151749" w:rsidRPr="0037549B" w:rsidRDefault="00151749" w:rsidP="00151749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34561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ІГСТ = </w:t>
      </w:r>
      <w:r w:rsidRPr="0034561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(Т х </w:t>
      </w:r>
      <w:r w:rsidRPr="0034561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100</w:t>
      </w:r>
      <w:proofErr w:type="gramStart"/>
      <w:r w:rsidRPr="0034561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) :</w:t>
      </w:r>
      <w:proofErr w:type="gramEnd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(ЧСС</w:t>
      </w:r>
      <w:r w:rsidRPr="00E44BE7">
        <w:rPr>
          <w:rFonts w:ascii="Times New Roman" w:eastAsia="TimesNewRoman" w:hAnsi="Times New Roman" w:cs="Times New Roman"/>
          <w:b/>
          <w:bCs/>
          <w:color w:val="000000"/>
          <w:sz w:val="20"/>
          <w:szCs w:val="20"/>
          <w:lang w:val="ru-RU"/>
        </w:rPr>
        <w:t>1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х 5,5)</w:t>
      </w:r>
    </w:p>
    <w:p w14:paraId="5A0817FC" w14:textId="77777777" w:rsidR="00151749" w:rsidRPr="0037549B" w:rsidRDefault="00151749" w:rsidP="001517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де: Т –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тривалість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сходження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у секундах</w:t>
      </w:r>
      <w:proofErr w:type="gram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ЧСС1 –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30 сек. на 2-й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відновного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періоду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38D0102" w14:textId="76C874AC" w:rsidR="00151749" w:rsidRPr="0037549B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D368E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4</w:t>
      </w:r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наведені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оціночні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критерії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працездатності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згідно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отриманих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результатів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навантажувального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тестування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Гарвардським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степ-тестом на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підставі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розрахунку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ІГСТ.</w:t>
      </w:r>
    </w:p>
    <w:p w14:paraId="536C50C3" w14:textId="27130D78" w:rsidR="00151749" w:rsidRPr="00904204" w:rsidRDefault="00151749" w:rsidP="0015174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Таблиця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D368E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4</w:t>
      </w:r>
    </w:p>
    <w:p w14:paraId="7D633B07" w14:textId="77777777" w:rsidR="00151749" w:rsidRDefault="00151749" w:rsidP="00151749">
      <w:pPr>
        <w:spacing w:after="0" w:line="36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Оцінка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працездатності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індексом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>Гарвардського</w:t>
      </w:r>
      <w:proofErr w:type="spellEnd"/>
      <w:r w:rsidRPr="003754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степ-тесту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51749" w:rsidRPr="0026491E" w14:paraId="29838AC5" w14:textId="77777777" w:rsidTr="00FC3C61">
        <w:tc>
          <w:tcPr>
            <w:tcW w:w="4672" w:type="dxa"/>
          </w:tcPr>
          <w:p w14:paraId="62DC74DA" w14:textId="77777777" w:rsidR="00151749" w:rsidRPr="0026491E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6491E">
              <w:rPr>
                <w:rFonts w:ascii="Times New Roman" w:hAnsi="Times New Roman" w:cs="Times New Roman"/>
                <w:lang w:val="ru-RU"/>
              </w:rPr>
              <w:t>Індекс</w:t>
            </w:r>
            <w:proofErr w:type="spellEnd"/>
            <w:r w:rsidRPr="0026491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6491E">
              <w:rPr>
                <w:rFonts w:ascii="Times New Roman" w:hAnsi="Times New Roman" w:cs="Times New Roman"/>
                <w:lang w:val="ru-RU"/>
              </w:rPr>
              <w:t>Гарвардського</w:t>
            </w:r>
            <w:proofErr w:type="spellEnd"/>
            <w:r w:rsidRPr="0026491E">
              <w:rPr>
                <w:rFonts w:ascii="Times New Roman" w:hAnsi="Times New Roman" w:cs="Times New Roman"/>
                <w:lang w:val="ru-RU"/>
              </w:rPr>
              <w:t xml:space="preserve"> степ-тесту</w:t>
            </w:r>
          </w:p>
        </w:tc>
        <w:tc>
          <w:tcPr>
            <w:tcW w:w="4673" w:type="dxa"/>
          </w:tcPr>
          <w:p w14:paraId="3E7BAC08" w14:textId="77777777" w:rsidR="00151749" w:rsidRPr="0026491E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6491E">
              <w:rPr>
                <w:rFonts w:ascii="Times New Roman" w:hAnsi="Times New Roman" w:cs="Times New Roman"/>
                <w:lang w:val="ru-RU"/>
              </w:rPr>
              <w:t>Оцінка</w:t>
            </w:r>
            <w:proofErr w:type="spellEnd"/>
            <w:r w:rsidRPr="0026491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6491E">
              <w:rPr>
                <w:rFonts w:ascii="Times New Roman" w:hAnsi="Times New Roman" w:cs="Times New Roman"/>
                <w:lang w:val="ru-RU"/>
              </w:rPr>
              <w:t>фізичної</w:t>
            </w:r>
            <w:proofErr w:type="spellEnd"/>
            <w:r w:rsidRPr="0026491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6491E">
              <w:rPr>
                <w:rFonts w:ascii="Times New Roman" w:hAnsi="Times New Roman" w:cs="Times New Roman"/>
                <w:lang w:val="ru-RU"/>
              </w:rPr>
              <w:t>працездатності</w:t>
            </w:r>
            <w:proofErr w:type="spellEnd"/>
          </w:p>
        </w:tc>
      </w:tr>
      <w:tr w:rsidR="00151749" w:rsidRPr="0026491E" w14:paraId="6B0D94CE" w14:textId="77777777" w:rsidTr="00FC3C61">
        <w:tc>
          <w:tcPr>
            <w:tcW w:w="4672" w:type="dxa"/>
          </w:tcPr>
          <w:p w14:paraId="366F7591" w14:textId="77777777" w:rsidR="00151749" w:rsidRPr="0026491E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6491E">
              <w:rPr>
                <w:rFonts w:ascii="Times New Roman" w:hAnsi="Times New Roman" w:cs="Times New Roman"/>
                <w:lang w:val="ru-RU"/>
              </w:rPr>
              <w:t>Менше</w:t>
            </w:r>
            <w:proofErr w:type="spellEnd"/>
            <w:r w:rsidRPr="0026491E">
              <w:rPr>
                <w:rFonts w:ascii="Times New Roman" w:hAnsi="Times New Roman" w:cs="Times New Roman"/>
                <w:lang w:val="ru-RU"/>
              </w:rPr>
              <w:t xml:space="preserve"> 55</w:t>
            </w:r>
          </w:p>
        </w:tc>
        <w:tc>
          <w:tcPr>
            <w:tcW w:w="4673" w:type="dxa"/>
          </w:tcPr>
          <w:p w14:paraId="6CFE18E2" w14:textId="77777777" w:rsidR="00151749" w:rsidRPr="0026491E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6491E">
              <w:rPr>
                <w:rFonts w:ascii="Times New Roman" w:hAnsi="Times New Roman" w:cs="Times New Roman"/>
                <w:lang w:val="ru-RU"/>
              </w:rPr>
              <w:t>Погана</w:t>
            </w:r>
            <w:proofErr w:type="spellEnd"/>
          </w:p>
        </w:tc>
      </w:tr>
      <w:tr w:rsidR="00151749" w:rsidRPr="0026491E" w14:paraId="417B20D5" w14:textId="77777777" w:rsidTr="00FC3C61">
        <w:tc>
          <w:tcPr>
            <w:tcW w:w="4672" w:type="dxa"/>
          </w:tcPr>
          <w:p w14:paraId="031282AC" w14:textId="77777777" w:rsidR="00151749" w:rsidRPr="0026491E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491E">
              <w:rPr>
                <w:rFonts w:ascii="Times New Roman" w:hAnsi="Times New Roman" w:cs="Times New Roman"/>
                <w:lang w:val="ru-RU"/>
              </w:rPr>
              <w:t>55-64</w:t>
            </w:r>
          </w:p>
        </w:tc>
        <w:tc>
          <w:tcPr>
            <w:tcW w:w="4673" w:type="dxa"/>
          </w:tcPr>
          <w:p w14:paraId="782BC03F" w14:textId="77777777" w:rsidR="00151749" w:rsidRPr="0026491E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6491E">
              <w:rPr>
                <w:rFonts w:ascii="Times New Roman" w:hAnsi="Times New Roman" w:cs="Times New Roman"/>
                <w:lang w:val="ru-RU"/>
              </w:rPr>
              <w:t>Нижче</w:t>
            </w:r>
            <w:proofErr w:type="spellEnd"/>
            <w:r w:rsidRPr="0026491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6491E">
              <w:rPr>
                <w:rFonts w:ascii="Times New Roman" w:hAnsi="Times New Roman" w:cs="Times New Roman"/>
                <w:lang w:val="ru-RU"/>
              </w:rPr>
              <w:t>середньої</w:t>
            </w:r>
            <w:proofErr w:type="spellEnd"/>
          </w:p>
        </w:tc>
      </w:tr>
      <w:tr w:rsidR="00151749" w:rsidRPr="0026491E" w14:paraId="46EB9360" w14:textId="77777777" w:rsidTr="00FC3C61">
        <w:tc>
          <w:tcPr>
            <w:tcW w:w="4672" w:type="dxa"/>
          </w:tcPr>
          <w:p w14:paraId="2BA7642C" w14:textId="77777777" w:rsidR="00151749" w:rsidRPr="0026491E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491E">
              <w:rPr>
                <w:rFonts w:ascii="Times New Roman" w:hAnsi="Times New Roman" w:cs="Times New Roman"/>
                <w:lang w:val="ru-RU"/>
              </w:rPr>
              <w:t>65-79</w:t>
            </w:r>
          </w:p>
        </w:tc>
        <w:tc>
          <w:tcPr>
            <w:tcW w:w="4673" w:type="dxa"/>
          </w:tcPr>
          <w:p w14:paraId="4FBAA8D3" w14:textId="77777777" w:rsidR="00151749" w:rsidRPr="0026491E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6491E">
              <w:rPr>
                <w:rFonts w:ascii="Times New Roman" w:hAnsi="Times New Roman" w:cs="Times New Roman"/>
                <w:lang w:val="ru-RU"/>
              </w:rPr>
              <w:t>Середня</w:t>
            </w:r>
            <w:proofErr w:type="spellEnd"/>
          </w:p>
        </w:tc>
      </w:tr>
      <w:tr w:rsidR="00151749" w:rsidRPr="0026491E" w14:paraId="44222129" w14:textId="77777777" w:rsidTr="00FC3C61">
        <w:tc>
          <w:tcPr>
            <w:tcW w:w="4672" w:type="dxa"/>
          </w:tcPr>
          <w:p w14:paraId="568192DB" w14:textId="77777777" w:rsidR="00151749" w:rsidRPr="0026491E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491E">
              <w:rPr>
                <w:rFonts w:ascii="Times New Roman" w:hAnsi="Times New Roman" w:cs="Times New Roman"/>
                <w:lang w:val="ru-RU"/>
              </w:rPr>
              <w:t>80-89</w:t>
            </w:r>
          </w:p>
        </w:tc>
        <w:tc>
          <w:tcPr>
            <w:tcW w:w="4673" w:type="dxa"/>
          </w:tcPr>
          <w:p w14:paraId="43EBB240" w14:textId="77777777" w:rsidR="00151749" w:rsidRPr="0026491E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491E">
              <w:rPr>
                <w:rFonts w:ascii="Times New Roman" w:hAnsi="Times New Roman" w:cs="Times New Roman"/>
                <w:lang w:val="ru-RU"/>
              </w:rPr>
              <w:t>Добра</w:t>
            </w:r>
          </w:p>
        </w:tc>
      </w:tr>
      <w:tr w:rsidR="00151749" w:rsidRPr="0026491E" w14:paraId="431C1BA0" w14:textId="77777777" w:rsidTr="00FC3C61">
        <w:tc>
          <w:tcPr>
            <w:tcW w:w="4672" w:type="dxa"/>
          </w:tcPr>
          <w:p w14:paraId="6C5EE88D" w14:textId="77777777" w:rsidR="00151749" w:rsidRPr="0026491E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491E">
              <w:rPr>
                <w:rFonts w:ascii="Times New Roman" w:hAnsi="Times New Roman" w:cs="Times New Roman"/>
                <w:lang w:val="ru-RU"/>
              </w:rPr>
              <w:t xml:space="preserve">90 і </w:t>
            </w:r>
            <w:proofErr w:type="spellStart"/>
            <w:r w:rsidRPr="0026491E">
              <w:rPr>
                <w:rFonts w:ascii="Times New Roman" w:hAnsi="Times New Roman" w:cs="Times New Roman"/>
                <w:lang w:val="ru-RU"/>
              </w:rPr>
              <w:t>більше</w:t>
            </w:r>
            <w:proofErr w:type="spellEnd"/>
          </w:p>
        </w:tc>
        <w:tc>
          <w:tcPr>
            <w:tcW w:w="4673" w:type="dxa"/>
          </w:tcPr>
          <w:p w14:paraId="100C4E14" w14:textId="77777777" w:rsidR="00151749" w:rsidRPr="0026491E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6491E">
              <w:rPr>
                <w:rFonts w:ascii="Times New Roman" w:hAnsi="Times New Roman" w:cs="Times New Roman"/>
                <w:lang w:val="ru-RU"/>
              </w:rPr>
              <w:t>Відмінна</w:t>
            </w:r>
            <w:proofErr w:type="spellEnd"/>
          </w:p>
        </w:tc>
      </w:tr>
    </w:tbl>
    <w:p w14:paraId="285C921B" w14:textId="77777777" w:rsidR="00151749" w:rsidRDefault="00151749" w:rsidP="0015174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3"/>
    <w:p w14:paraId="025DEC81" w14:textId="77777777" w:rsidR="00151749" w:rsidRPr="001209C4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Зрозуміло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покращення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працездатності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тренованості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 буде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супроводжуватися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підвищенням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ІГСТ. У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спортсменів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показники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ІГСТ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вищі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ніж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нетренованих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свідчить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зростання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адаптації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Спортсмени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тренуються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включенням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циклічних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видів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спорту при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навантаженнях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«на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витривалість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»,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мають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суттєво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більший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значенням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ІГСТ у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порівнянні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іншими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спортсменами.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Зважаючи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 xml:space="preserve">на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значне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фізичне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час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Гарвардського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степ-тесту,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він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використовуватися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лише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працездатності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достатньо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підготовлених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Особам старшого і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похилого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призначати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таке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тестування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рекомендується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6846CA68" w14:textId="77777777" w:rsidR="00151749" w:rsidRPr="001209C4" w:rsidRDefault="00151749" w:rsidP="001517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</w:pPr>
      <w:r w:rsidRPr="001209C4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Тест Купера</w:t>
      </w:r>
    </w:p>
    <w:p w14:paraId="7ECFE4CD" w14:textId="77777777" w:rsidR="00151749" w:rsidRPr="001209C4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Кеннетом Купером на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основі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встановлення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високого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ступеню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взаємозв’язку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між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показниками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працездатності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рівнем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загальної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витривалості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був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запропоновано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біговий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12-ти</w:t>
      </w:r>
      <w:proofErr w:type="gram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хвилинний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тест</w:t>
      </w:r>
      <w:r w:rsidRPr="001209C4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.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Стратегія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цього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навантажувального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тесту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полягає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визначенні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тієї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максимально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можливої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дистанції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яку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досліджувана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особа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пробігти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пройти)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12-ти</w:t>
      </w:r>
      <w:proofErr w:type="gram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Таке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терміну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часу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було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обране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вищевказаним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вченим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підставі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отриманих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ни</w:t>
      </w:r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емпіричних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даних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8898855" w14:textId="10141A28" w:rsidR="00151749" w:rsidRPr="001209C4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bookmarkStart w:id="4" w:name="_Hlk148177579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таблиці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D368E0" w:rsidRPr="00D368E0">
        <w:rPr>
          <w:rFonts w:ascii="Times New Roman" w:eastAsia="TimesNewRoman" w:hAnsi="Times New Roman" w:cs="Times New Roman"/>
          <w:color w:val="000000"/>
          <w:sz w:val="28"/>
          <w:szCs w:val="28"/>
        </w:rPr>
        <w:t>5</w:t>
      </w:r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наведені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дані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щодо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кр</w:t>
      </w:r>
      <w:r w:rsidR="00D368E0" w:rsidRPr="00D368E0">
        <w:rPr>
          <w:rFonts w:ascii="Times New Roman" w:eastAsia="TimesNewRoman" w:hAnsi="Times New Roman" w:cs="Times New Roman"/>
          <w:color w:val="000000"/>
          <w:sz w:val="28"/>
          <w:szCs w:val="28"/>
        </w:rPr>
        <w:t>и</w:t>
      </w:r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теріальної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підготовленості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врахуванням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статі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результатами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12-хвилинного тесту Купера.</w:t>
      </w:r>
    </w:p>
    <w:p w14:paraId="1F3FE219" w14:textId="297CDAC1" w:rsidR="00151749" w:rsidRPr="00D368E0" w:rsidRDefault="00151749" w:rsidP="0015174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Таблиця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D368E0" w:rsidRPr="00D368E0">
        <w:rPr>
          <w:rFonts w:ascii="Times New Roman" w:eastAsia="TimesNewRoman" w:hAnsi="Times New Roman" w:cs="Times New Roman"/>
          <w:color w:val="000000"/>
          <w:sz w:val="28"/>
          <w:szCs w:val="28"/>
        </w:rPr>
        <w:t>5</w:t>
      </w:r>
    </w:p>
    <w:p w14:paraId="70D19BEA" w14:textId="77777777" w:rsidR="00151749" w:rsidRPr="001209C4" w:rsidRDefault="00151749" w:rsidP="0015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Оцінка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підготовленості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різної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статі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</w:t>
      </w:r>
    </w:p>
    <w:p w14:paraId="3457611C" w14:textId="77777777" w:rsidR="00151749" w:rsidRPr="001209C4" w:rsidRDefault="00151749" w:rsidP="0015174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результатами </w:t>
      </w:r>
      <w:proofErr w:type="spellStart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1209C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12-хвилинного тесту Купера (км)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151749" w:rsidRPr="004637D5" w14:paraId="096878FB" w14:textId="77777777" w:rsidTr="00FC3C61">
        <w:tc>
          <w:tcPr>
            <w:tcW w:w="1869" w:type="dxa"/>
            <w:vMerge w:val="restart"/>
          </w:tcPr>
          <w:p w14:paraId="173547D1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Фізична</w:t>
            </w:r>
            <w:proofErr w:type="spellEnd"/>
            <w:r w:rsidRPr="004637D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підготовленість</w:t>
            </w:r>
            <w:proofErr w:type="spellEnd"/>
          </w:p>
        </w:tc>
        <w:tc>
          <w:tcPr>
            <w:tcW w:w="7476" w:type="dxa"/>
            <w:gridSpan w:val="4"/>
          </w:tcPr>
          <w:p w14:paraId="7210CBD4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Вік</w:t>
            </w:r>
            <w:proofErr w:type="spellEnd"/>
            <w:r w:rsidRPr="004637D5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років</w:t>
            </w:r>
            <w:proofErr w:type="spellEnd"/>
          </w:p>
        </w:tc>
      </w:tr>
      <w:tr w:rsidR="00151749" w:rsidRPr="004637D5" w14:paraId="013D95C1" w14:textId="77777777" w:rsidTr="00FC3C61">
        <w:tc>
          <w:tcPr>
            <w:tcW w:w="1869" w:type="dxa"/>
            <w:vMerge/>
          </w:tcPr>
          <w:p w14:paraId="07F5FD7E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030A891E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До 30</w:t>
            </w:r>
          </w:p>
        </w:tc>
        <w:tc>
          <w:tcPr>
            <w:tcW w:w="1869" w:type="dxa"/>
          </w:tcPr>
          <w:p w14:paraId="463AFC2B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30-39</w:t>
            </w:r>
          </w:p>
        </w:tc>
        <w:tc>
          <w:tcPr>
            <w:tcW w:w="1869" w:type="dxa"/>
          </w:tcPr>
          <w:p w14:paraId="5FE8E745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40-49</w:t>
            </w:r>
          </w:p>
        </w:tc>
        <w:tc>
          <w:tcPr>
            <w:tcW w:w="1869" w:type="dxa"/>
          </w:tcPr>
          <w:p w14:paraId="04FD3742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 xml:space="preserve">50 і 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більше</w:t>
            </w:r>
            <w:proofErr w:type="spellEnd"/>
          </w:p>
        </w:tc>
      </w:tr>
      <w:tr w:rsidR="00151749" w:rsidRPr="004637D5" w14:paraId="40F26124" w14:textId="77777777" w:rsidTr="00FC3C61">
        <w:tc>
          <w:tcPr>
            <w:tcW w:w="9345" w:type="dxa"/>
            <w:gridSpan w:val="5"/>
          </w:tcPr>
          <w:p w14:paraId="32A6B820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Чоловіки</w:t>
            </w:r>
            <w:proofErr w:type="spellEnd"/>
          </w:p>
        </w:tc>
      </w:tr>
      <w:tr w:rsidR="00151749" w:rsidRPr="004637D5" w14:paraId="23E85AD5" w14:textId="77777777" w:rsidTr="00FC3C61">
        <w:tc>
          <w:tcPr>
            <w:tcW w:w="1869" w:type="dxa"/>
          </w:tcPr>
          <w:p w14:paraId="2D858C4A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Дуже</w:t>
            </w:r>
            <w:proofErr w:type="spellEnd"/>
            <w:r w:rsidRPr="004637D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погана</w:t>
            </w:r>
            <w:proofErr w:type="spellEnd"/>
          </w:p>
        </w:tc>
        <w:tc>
          <w:tcPr>
            <w:tcW w:w="1869" w:type="dxa"/>
          </w:tcPr>
          <w:p w14:paraId="7763CBBF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 xml:space="preserve">1,5 і 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менше</w:t>
            </w:r>
            <w:proofErr w:type="spellEnd"/>
          </w:p>
        </w:tc>
        <w:tc>
          <w:tcPr>
            <w:tcW w:w="1869" w:type="dxa"/>
          </w:tcPr>
          <w:p w14:paraId="4A8C488F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 xml:space="preserve">1,4 і 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менше</w:t>
            </w:r>
            <w:proofErr w:type="spellEnd"/>
          </w:p>
        </w:tc>
        <w:tc>
          <w:tcPr>
            <w:tcW w:w="1869" w:type="dxa"/>
          </w:tcPr>
          <w:p w14:paraId="02C87EA1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 xml:space="preserve">1,2 і 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менше</w:t>
            </w:r>
            <w:proofErr w:type="spellEnd"/>
          </w:p>
        </w:tc>
        <w:tc>
          <w:tcPr>
            <w:tcW w:w="1869" w:type="dxa"/>
          </w:tcPr>
          <w:p w14:paraId="60AE9072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 xml:space="preserve">1,1 і 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менше</w:t>
            </w:r>
            <w:proofErr w:type="spellEnd"/>
          </w:p>
        </w:tc>
      </w:tr>
      <w:tr w:rsidR="00151749" w:rsidRPr="004637D5" w14:paraId="3867E4C1" w14:textId="77777777" w:rsidTr="00FC3C61">
        <w:tc>
          <w:tcPr>
            <w:tcW w:w="1869" w:type="dxa"/>
          </w:tcPr>
          <w:p w14:paraId="23F159B3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Погана</w:t>
            </w:r>
            <w:proofErr w:type="spellEnd"/>
          </w:p>
        </w:tc>
        <w:tc>
          <w:tcPr>
            <w:tcW w:w="1869" w:type="dxa"/>
          </w:tcPr>
          <w:p w14:paraId="7D0AE3F7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1,6-1,9</w:t>
            </w:r>
          </w:p>
        </w:tc>
        <w:tc>
          <w:tcPr>
            <w:tcW w:w="1869" w:type="dxa"/>
          </w:tcPr>
          <w:p w14:paraId="25D886EC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1,5-1,84</w:t>
            </w:r>
          </w:p>
        </w:tc>
        <w:tc>
          <w:tcPr>
            <w:tcW w:w="1869" w:type="dxa"/>
          </w:tcPr>
          <w:p w14:paraId="7EBCDFE0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1,3-1,6</w:t>
            </w:r>
          </w:p>
        </w:tc>
        <w:tc>
          <w:tcPr>
            <w:tcW w:w="1869" w:type="dxa"/>
          </w:tcPr>
          <w:p w14:paraId="2EE593E8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1,2-1,5</w:t>
            </w:r>
          </w:p>
        </w:tc>
      </w:tr>
      <w:tr w:rsidR="00151749" w:rsidRPr="004637D5" w14:paraId="5C3B75B2" w14:textId="77777777" w:rsidTr="00FC3C61">
        <w:tc>
          <w:tcPr>
            <w:tcW w:w="1869" w:type="dxa"/>
          </w:tcPr>
          <w:p w14:paraId="04BF7FCE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Задовільна</w:t>
            </w:r>
            <w:proofErr w:type="spellEnd"/>
          </w:p>
        </w:tc>
        <w:tc>
          <w:tcPr>
            <w:tcW w:w="1869" w:type="dxa"/>
          </w:tcPr>
          <w:p w14:paraId="4196C473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2,0-2,4</w:t>
            </w:r>
          </w:p>
        </w:tc>
        <w:tc>
          <w:tcPr>
            <w:tcW w:w="1869" w:type="dxa"/>
          </w:tcPr>
          <w:p w14:paraId="4FFB359C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1,85-2,24</w:t>
            </w:r>
          </w:p>
        </w:tc>
        <w:tc>
          <w:tcPr>
            <w:tcW w:w="1869" w:type="dxa"/>
          </w:tcPr>
          <w:p w14:paraId="73448699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1,7-2,1</w:t>
            </w:r>
          </w:p>
        </w:tc>
        <w:tc>
          <w:tcPr>
            <w:tcW w:w="1869" w:type="dxa"/>
          </w:tcPr>
          <w:p w14:paraId="26EC8F20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1,6-1,9</w:t>
            </w:r>
          </w:p>
        </w:tc>
      </w:tr>
      <w:tr w:rsidR="00151749" w:rsidRPr="004637D5" w14:paraId="7F51EE29" w14:textId="77777777" w:rsidTr="00FC3C61">
        <w:tc>
          <w:tcPr>
            <w:tcW w:w="1869" w:type="dxa"/>
          </w:tcPr>
          <w:p w14:paraId="701F1AE8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Добра</w:t>
            </w:r>
          </w:p>
        </w:tc>
        <w:tc>
          <w:tcPr>
            <w:tcW w:w="1869" w:type="dxa"/>
          </w:tcPr>
          <w:p w14:paraId="74583009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2,5-2,7</w:t>
            </w:r>
          </w:p>
        </w:tc>
        <w:tc>
          <w:tcPr>
            <w:tcW w:w="1869" w:type="dxa"/>
          </w:tcPr>
          <w:p w14:paraId="7637CFEA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2,25-2,64</w:t>
            </w:r>
          </w:p>
        </w:tc>
        <w:tc>
          <w:tcPr>
            <w:tcW w:w="1869" w:type="dxa"/>
          </w:tcPr>
          <w:p w14:paraId="56302D95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4637D5">
              <w:rPr>
                <w:rFonts w:ascii="Times New Roman" w:hAnsi="Times New Roman" w:cs="Times New Roman"/>
                <w:lang w:val="ru-RU"/>
              </w:rPr>
              <w:t>2,2-2</w:t>
            </w:r>
            <w:proofErr w:type="gramEnd"/>
            <w:r w:rsidRPr="004637D5">
              <w:rPr>
                <w:rFonts w:ascii="Times New Roman" w:hAnsi="Times New Roman" w:cs="Times New Roman"/>
                <w:lang w:val="ru-RU"/>
              </w:rPr>
              <w:t>.4</w:t>
            </w:r>
          </w:p>
        </w:tc>
        <w:tc>
          <w:tcPr>
            <w:tcW w:w="1869" w:type="dxa"/>
          </w:tcPr>
          <w:p w14:paraId="1151846C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4637D5">
              <w:rPr>
                <w:rFonts w:ascii="Times New Roman" w:hAnsi="Times New Roman" w:cs="Times New Roman"/>
                <w:lang w:val="ru-RU"/>
              </w:rPr>
              <w:t>2,0-2</w:t>
            </w:r>
            <w:proofErr w:type="gramEnd"/>
            <w:r w:rsidRPr="004637D5">
              <w:rPr>
                <w:rFonts w:ascii="Times New Roman" w:hAnsi="Times New Roman" w:cs="Times New Roman"/>
                <w:lang w:val="ru-RU"/>
              </w:rPr>
              <w:t>.4</w:t>
            </w:r>
          </w:p>
        </w:tc>
      </w:tr>
      <w:tr w:rsidR="00151749" w:rsidRPr="004637D5" w14:paraId="30D2A7BC" w14:textId="77777777" w:rsidTr="00FC3C61">
        <w:tc>
          <w:tcPr>
            <w:tcW w:w="1869" w:type="dxa"/>
          </w:tcPr>
          <w:p w14:paraId="052A8D50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Відмінна</w:t>
            </w:r>
            <w:proofErr w:type="spellEnd"/>
          </w:p>
        </w:tc>
        <w:tc>
          <w:tcPr>
            <w:tcW w:w="1869" w:type="dxa"/>
          </w:tcPr>
          <w:p w14:paraId="4C7BF7A0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 xml:space="preserve">2,8 і 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більше</w:t>
            </w:r>
            <w:proofErr w:type="spellEnd"/>
          </w:p>
        </w:tc>
        <w:tc>
          <w:tcPr>
            <w:tcW w:w="1869" w:type="dxa"/>
          </w:tcPr>
          <w:p w14:paraId="4AD78C7E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 xml:space="preserve">2,65 і 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більше</w:t>
            </w:r>
            <w:proofErr w:type="spellEnd"/>
          </w:p>
        </w:tc>
        <w:tc>
          <w:tcPr>
            <w:tcW w:w="1869" w:type="dxa"/>
          </w:tcPr>
          <w:p w14:paraId="4A358FAB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1,3-1,6</w:t>
            </w:r>
          </w:p>
        </w:tc>
        <w:tc>
          <w:tcPr>
            <w:tcW w:w="1869" w:type="dxa"/>
          </w:tcPr>
          <w:p w14:paraId="03D5816B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 xml:space="preserve">2,5 і 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більше</w:t>
            </w:r>
            <w:proofErr w:type="spellEnd"/>
          </w:p>
        </w:tc>
      </w:tr>
      <w:tr w:rsidR="00151749" w:rsidRPr="004637D5" w14:paraId="019C13C4" w14:textId="77777777" w:rsidTr="00FC3C61">
        <w:tc>
          <w:tcPr>
            <w:tcW w:w="9345" w:type="dxa"/>
            <w:gridSpan w:val="5"/>
          </w:tcPr>
          <w:p w14:paraId="1C79A42D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Жінки</w:t>
            </w:r>
            <w:proofErr w:type="spellEnd"/>
          </w:p>
        </w:tc>
      </w:tr>
      <w:tr w:rsidR="00151749" w:rsidRPr="004637D5" w14:paraId="291995AE" w14:textId="77777777" w:rsidTr="00FC3C61">
        <w:tc>
          <w:tcPr>
            <w:tcW w:w="1869" w:type="dxa"/>
          </w:tcPr>
          <w:p w14:paraId="5BAEE945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Дуже</w:t>
            </w:r>
            <w:proofErr w:type="spellEnd"/>
            <w:r w:rsidRPr="004637D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погана</w:t>
            </w:r>
            <w:proofErr w:type="spellEnd"/>
          </w:p>
        </w:tc>
        <w:tc>
          <w:tcPr>
            <w:tcW w:w="1869" w:type="dxa"/>
          </w:tcPr>
          <w:p w14:paraId="6037D634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 xml:space="preserve">1,4 і 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менше</w:t>
            </w:r>
            <w:proofErr w:type="spellEnd"/>
          </w:p>
        </w:tc>
        <w:tc>
          <w:tcPr>
            <w:tcW w:w="1869" w:type="dxa"/>
          </w:tcPr>
          <w:p w14:paraId="592181E6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 xml:space="preserve">1,2 і 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менше</w:t>
            </w:r>
            <w:proofErr w:type="spellEnd"/>
          </w:p>
        </w:tc>
        <w:tc>
          <w:tcPr>
            <w:tcW w:w="1869" w:type="dxa"/>
          </w:tcPr>
          <w:p w14:paraId="75813BCE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 xml:space="preserve">1,1 і 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менше</w:t>
            </w:r>
            <w:proofErr w:type="spellEnd"/>
          </w:p>
        </w:tc>
        <w:tc>
          <w:tcPr>
            <w:tcW w:w="1869" w:type="dxa"/>
          </w:tcPr>
          <w:p w14:paraId="79E03336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 xml:space="preserve">0,9 і 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менше</w:t>
            </w:r>
            <w:proofErr w:type="spellEnd"/>
          </w:p>
        </w:tc>
      </w:tr>
      <w:tr w:rsidR="00151749" w:rsidRPr="004637D5" w14:paraId="7BFADAD0" w14:textId="77777777" w:rsidTr="00FC3C61">
        <w:tc>
          <w:tcPr>
            <w:tcW w:w="1869" w:type="dxa"/>
          </w:tcPr>
          <w:p w14:paraId="558FFFD0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Погана</w:t>
            </w:r>
            <w:proofErr w:type="spellEnd"/>
          </w:p>
        </w:tc>
        <w:tc>
          <w:tcPr>
            <w:tcW w:w="1869" w:type="dxa"/>
          </w:tcPr>
          <w:p w14:paraId="1055B2F8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1,5-1,84</w:t>
            </w:r>
          </w:p>
        </w:tc>
        <w:tc>
          <w:tcPr>
            <w:tcW w:w="1869" w:type="dxa"/>
          </w:tcPr>
          <w:p w14:paraId="42BF96DB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1,3-1,6</w:t>
            </w:r>
          </w:p>
        </w:tc>
        <w:tc>
          <w:tcPr>
            <w:tcW w:w="1869" w:type="dxa"/>
          </w:tcPr>
          <w:p w14:paraId="4B0B2354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1,2-1,4</w:t>
            </w:r>
          </w:p>
        </w:tc>
        <w:tc>
          <w:tcPr>
            <w:tcW w:w="1869" w:type="dxa"/>
          </w:tcPr>
          <w:p w14:paraId="05572A35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1,0-1,3</w:t>
            </w:r>
          </w:p>
        </w:tc>
      </w:tr>
      <w:tr w:rsidR="00151749" w:rsidRPr="004637D5" w14:paraId="1AAFFF52" w14:textId="77777777" w:rsidTr="00FC3C61">
        <w:tc>
          <w:tcPr>
            <w:tcW w:w="1869" w:type="dxa"/>
          </w:tcPr>
          <w:p w14:paraId="61A95A2B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Задовільна</w:t>
            </w:r>
            <w:proofErr w:type="spellEnd"/>
          </w:p>
        </w:tc>
        <w:tc>
          <w:tcPr>
            <w:tcW w:w="1869" w:type="dxa"/>
          </w:tcPr>
          <w:p w14:paraId="38F50029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1,85-2,15</w:t>
            </w:r>
          </w:p>
        </w:tc>
        <w:tc>
          <w:tcPr>
            <w:tcW w:w="1869" w:type="dxa"/>
          </w:tcPr>
          <w:p w14:paraId="2A13E4E3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1,7-1,9</w:t>
            </w:r>
          </w:p>
        </w:tc>
        <w:tc>
          <w:tcPr>
            <w:tcW w:w="1869" w:type="dxa"/>
          </w:tcPr>
          <w:p w14:paraId="58409096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1,5-1,84</w:t>
            </w:r>
          </w:p>
        </w:tc>
        <w:tc>
          <w:tcPr>
            <w:tcW w:w="1869" w:type="dxa"/>
          </w:tcPr>
          <w:p w14:paraId="3FF7A634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1,4-1,6</w:t>
            </w:r>
          </w:p>
        </w:tc>
      </w:tr>
      <w:tr w:rsidR="00151749" w:rsidRPr="004637D5" w14:paraId="244B16A9" w14:textId="77777777" w:rsidTr="00FC3C61">
        <w:tc>
          <w:tcPr>
            <w:tcW w:w="1869" w:type="dxa"/>
          </w:tcPr>
          <w:p w14:paraId="6CE2ABE0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Добра</w:t>
            </w:r>
          </w:p>
        </w:tc>
        <w:tc>
          <w:tcPr>
            <w:tcW w:w="1869" w:type="dxa"/>
          </w:tcPr>
          <w:p w14:paraId="4EE8AE54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2,16-2,64</w:t>
            </w:r>
          </w:p>
        </w:tc>
        <w:tc>
          <w:tcPr>
            <w:tcW w:w="1869" w:type="dxa"/>
          </w:tcPr>
          <w:p w14:paraId="4F74B364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2,0-2,4</w:t>
            </w:r>
          </w:p>
        </w:tc>
        <w:tc>
          <w:tcPr>
            <w:tcW w:w="1869" w:type="dxa"/>
          </w:tcPr>
          <w:p w14:paraId="4B12EC3A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1,85-2,3</w:t>
            </w:r>
          </w:p>
        </w:tc>
        <w:tc>
          <w:tcPr>
            <w:tcW w:w="1869" w:type="dxa"/>
          </w:tcPr>
          <w:p w14:paraId="2FFD524D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4637D5">
              <w:rPr>
                <w:rFonts w:ascii="Times New Roman" w:hAnsi="Times New Roman" w:cs="Times New Roman"/>
                <w:lang w:val="ru-RU"/>
              </w:rPr>
              <w:t>1,7-2</w:t>
            </w:r>
            <w:proofErr w:type="gramEnd"/>
            <w:r w:rsidRPr="004637D5">
              <w:rPr>
                <w:rFonts w:ascii="Times New Roman" w:hAnsi="Times New Roman" w:cs="Times New Roman"/>
                <w:lang w:val="ru-RU"/>
              </w:rPr>
              <w:t>.15</w:t>
            </w:r>
          </w:p>
        </w:tc>
      </w:tr>
      <w:tr w:rsidR="00151749" w:rsidRPr="004637D5" w14:paraId="37ADFBB9" w14:textId="77777777" w:rsidTr="00FC3C61">
        <w:tc>
          <w:tcPr>
            <w:tcW w:w="1869" w:type="dxa"/>
          </w:tcPr>
          <w:p w14:paraId="6FB11E32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Відмінна</w:t>
            </w:r>
            <w:proofErr w:type="spellEnd"/>
          </w:p>
        </w:tc>
        <w:tc>
          <w:tcPr>
            <w:tcW w:w="1869" w:type="dxa"/>
          </w:tcPr>
          <w:p w14:paraId="78E044F8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 xml:space="preserve">2,65 і 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більше</w:t>
            </w:r>
            <w:proofErr w:type="spellEnd"/>
          </w:p>
        </w:tc>
        <w:tc>
          <w:tcPr>
            <w:tcW w:w="1869" w:type="dxa"/>
          </w:tcPr>
          <w:p w14:paraId="4EC2D202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 xml:space="preserve">2,5 і 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більше</w:t>
            </w:r>
            <w:proofErr w:type="spellEnd"/>
          </w:p>
        </w:tc>
        <w:tc>
          <w:tcPr>
            <w:tcW w:w="1869" w:type="dxa"/>
          </w:tcPr>
          <w:p w14:paraId="22FF7091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 xml:space="preserve">2,4 і 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більше</w:t>
            </w:r>
            <w:proofErr w:type="spellEnd"/>
          </w:p>
        </w:tc>
        <w:tc>
          <w:tcPr>
            <w:tcW w:w="1869" w:type="dxa"/>
          </w:tcPr>
          <w:p w14:paraId="3C8E3C59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 xml:space="preserve">2,2 і 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більше</w:t>
            </w:r>
            <w:proofErr w:type="spellEnd"/>
          </w:p>
        </w:tc>
      </w:tr>
    </w:tbl>
    <w:p w14:paraId="289EB66F" w14:textId="77777777" w:rsidR="00151749" w:rsidRDefault="00151749" w:rsidP="0015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</w:p>
    <w:bookmarkEnd w:id="4"/>
    <w:p w14:paraId="6BC98C13" w14:textId="49A4CC83" w:rsidR="00151749" w:rsidRPr="00C41E6D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Тест Купера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виконується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стадіоні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будь-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якій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точно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вимірюваній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біговій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доріжці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, як</w:t>
      </w:r>
      <w:proofErr w:type="spellStart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ою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здійснити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легкоатлетичний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біг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Перед початком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тестування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досліджувані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попередньо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розминаються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потім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індивідуального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загального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старту </w:t>
      </w:r>
      <w:r w:rsidRPr="00F456A0">
        <w:rPr>
          <w:rFonts w:ascii="Times New Roman" w:eastAsia="TimesNewRoman" w:hAnsi="Times New Roman" w:cs="Times New Roman"/>
          <w:color w:val="000000"/>
          <w:sz w:val="28"/>
          <w:szCs w:val="28"/>
        </w:rPr>
        <w:t>за</w:t>
      </w:r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команд</w:t>
      </w:r>
      <w:r w:rsidRPr="00F456A0">
        <w:rPr>
          <w:rFonts w:ascii="Times New Roman" w:eastAsia="TimesNewRoman" w:hAnsi="Times New Roman" w:cs="Times New Roman"/>
          <w:color w:val="000000"/>
          <w:sz w:val="28"/>
          <w:szCs w:val="28"/>
        </w:rPr>
        <w:t>ою</w:t>
      </w:r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тренера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починають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біг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намагаючись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підтримувати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найбільш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можливу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себе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швидкість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(при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втомі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дозволяється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переходити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ходьбу,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чергувати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ходьбу з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бігом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12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подається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команда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щодо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бігу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пройдена особою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дистанція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величина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якої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служить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мірою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виконаної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м'язової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роботи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тобто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характеризує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фізичну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підготовленість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2E0FA73F" w14:textId="0D8D1715" w:rsidR="00151749" w:rsidRPr="00C41E6D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bookmarkStart w:id="5" w:name="_Hlk148177686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таблиці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450521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6</w:t>
      </w:r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наведені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дані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відносно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співставлення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значень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показника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максимального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споживання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кисню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(МСК) і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довжиною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подоланої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відстані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результатами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12-хвилинного тесту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Купера.</w:t>
      </w:r>
    </w:p>
    <w:p w14:paraId="298FD68F" w14:textId="41AAF765" w:rsidR="00151749" w:rsidRPr="00904204" w:rsidRDefault="00151749" w:rsidP="0015174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Таблиця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450521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6</w:t>
      </w:r>
    </w:p>
    <w:p w14:paraId="0E26E80C" w14:textId="77777777" w:rsidR="00151749" w:rsidRPr="00C41E6D" w:rsidRDefault="00151749" w:rsidP="0015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Співставлення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значень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показника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максимального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споживання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кисню</w:t>
      </w:r>
      <w:proofErr w:type="spellEnd"/>
    </w:p>
    <w:p w14:paraId="05A0BB67" w14:textId="77777777" w:rsidR="00151749" w:rsidRDefault="00151749" w:rsidP="0015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(МСК) і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довжиною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подоланої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відстані</w:t>
      </w:r>
      <w:proofErr w:type="spellEnd"/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результатами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41E6D">
        <w:rPr>
          <w:rFonts w:ascii="Times New Roman" w:eastAsia="TimesNewRoman" w:hAnsi="Times New Roman" w:cs="Times New Roman"/>
          <w:color w:val="000000"/>
          <w:sz w:val="28"/>
          <w:szCs w:val="28"/>
        </w:rPr>
        <w:t>12-хвилинного тесту Купера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51749" w:rsidRPr="004637D5" w14:paraId="28565120" w14:textId="77777777" w:rsidTr="00FC3C61">
        <w:tc>
          <w:tcPr>
            <w:tcW w:w="4672" w:type="dxa"/>
          </w:tcPr>
          <w:p w14:paraId="024203E3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Відстань</w:t>
            </w:r>
            <w:proofErr w:type="spellEnd"/>
            <w:r w:rsidRPr="004637D5">
              <w:rPr>
                <w:rFonts w:ascii="Times New Roman" w:hAnsi="Times New Roman" w:cs="Times New Roman"/>
                <w:lang w:val="ru-RU"/>
              </w:rPr>
              <w:t xml:space="preserve">, яка 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подолана</w:t>
            </w:r>
            <w:proofErr w:type="spellEnd"/>
            <w:r w:rsidRPr="004637D5">
              <w:rPr>
                <w:rFonts w:ascii="Times New Roman" w:hAnsi="Times New Roman" w:cs="Times New Roman"/>
                <w:lang w:val="ru-RU"/>
              </w:rPr>
              <w:t xml:space="preserve"> за 12 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хв</w:t>
            </w:r>
            <w:proofErr w:type="spellEnd"/>
            <w:r w:rsidRPr="004637D5">
              <w:rPr>
                <w:rFonts w:ascii="Times New Roman" w:hAnsi="Times New Roman" w:cs="Times New Roman"/>
                <w:lang w:val="ru-RU"/>
              </w:rPr>
              <w:t>., км</w:t>
            </w:r>
          </w:p>
        </w:tc>
        <w:tc>
          <w:tcPr>
            <w:tcW w:w="4673" w:type="dxa"/>
          </w:tcPr>
          <w:p w14:paraId="399BC80C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 xml:space="preserve">МСК. </w:t>
            </w:r>
            <w:proofErr w:type="gramStart"/>
            <w:r w:rsidRPr="004637D5">
              <w:rPr>
                <w:rFonts w:ascii="Times New Roman" w:hAnsi="Times New Roman" w:cs="Times New Roman"/>
                <w:lang w:val="ru-RU"/>
              </w:rPr>
              <w:t>Мл./</w:t>
            </w:r>
            <w:proofErr w:type="gramEnd"/>
            <w:r w:rsidRPr="004637D5">
              <w:rPr>
                <w:rFonts w:ascii="Times New Roman" w:hAnsi="Times New Roman" w:cs="Times New Roman"/>
                <w:lang w:val="ru-RU"/>
              </w:rPr>
              <w:t>кг/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хв</w:t>
            </w:r>
            <w:proofErr w:type="spellEnd"/>
          </w:p>
        </w:tc>
      </w:tr>
      <w:tr w:rsidR="00151749" w:rsidRPr="004637D5" w14:paraId="240ECEF1" w14:textId="77777777" w:rsidTr="00FC3C61">
        <w:tc>
          <w:tcPr>
            <w:tcW w:w="4672" w:type="dxa"/>
          </w:tcPr>
          <w:p w14:paraId="1272FE29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Менше</w:t>
            </w:r>
            <w:proofErr w:type="spellEnd"/>
            <w:r w:rsidRPr="004637D5">
              <w:rPr>
                <w:rFonts w:ascii="Times New Roman" w:hAnsi="Times New Roman" w:cs="Times New Roman"/>
                <w:lang w:val="ru-RU"/>
              </w:rPr>
              <w:t xml:space="preserve"> 1.6</w:t>
            </w:r>
          </w:p>
        </w:tc>
        <w:tc>
          <w:tcPr>
            <w:tcW w:w="4673" w:type="dxa"/>
          </w:tcPr>
          <w:p w14:paraId="608D33F3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Менше</w:t>
            </w:r>
            <w:proofErr w:type="spellEnd"/>
            <w:r w:rsidRPr="004637D5">
              <w:rPr>
                <w:rFonts w:ascii="Times New Roman" w:hAnsi="Times New Roman" w:cs="Times New Roman"/>
                <w:lang w:val="ru-RU"/>
              </w:rPr>
              <w:t xml:space="preserve"> 25.0</w:t>
            </w:r>
          </w:p>
        </w:tc>
      </w:tr>
      <w:tr w:rsidR="00151749" w:rsidRPr="004637D5" w14:paraId="13149D88" w14:textId="77777777" w:rsidTr="00FC3C61">
        <w:tc>
          <w:tcPr>
            <w:tcW w:w="4672" w:type="dxa"/>
          </w:tcPr>
          <w:p w14:paraId="6725A8F9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1,6-2,0</w:t>
            </w:r>
          </w:p>
        </w:tc>
        <w:tc>
          <w:tcPr>
            <w:tcW w:w="4673" w:type="dxa"/>
          </w:tcPr>
          <w:p w14:paraId="2AD045DB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25,0-33,7</w:t>
            </w:r>
          </w:p>
        </w:tc>
      </w:tr>
      <w:tr w:rsidR="00151749" w:rsidRPr="004637D5" w14:paraId="2A05860E" w14:textId="77777777" w:rsidTr="00FC3C61">
        <w:tc>
          <w:tcPr>
            <w:tcW w:w="4672" w:type="dxa"/>
          </w:tcPr>
          <w:p w14:paraId="18EC1C03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2,01-2,4</w:t>
            </w:r>
          </w:p>
        </w:tc>
        <w:tc>
          <w:tcPr>
            <w:tcW w:w="4673" w:type="dxa"/>
          </w:tcPr>
          <w:p w14:paraId="34FB5C02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33,8-42,5</w:t>
            </w:r>
          </w:p>
        </w:tc>
      </w:tr>
      <w:tr w:rsidR="00151749" w:rsidRPr="004637D5" w14:paraId="75850E91" w14:textId="77777777" w:rsidTr="00FC3C61">
        <w:tc>
          <w:tcPr>
            <w:tcW w:w="4672" w:type="dxa"/>
          </w:tcPr>
          <w:p w14:paraId="30F48BF2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2,41-2,8</w:t>
            </w:r>
          </w:p>
        </w:tc>
        <w:tc>
          <w:tcPr>
            <w:tcW w:w="4673" w:type="dxa"/>
          </w:tcPr>
          <w:p w14:paraId="30A999FB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>42,6-51,5</w:t>
            </w:r>
          </w:p>
        </w:tc>
      </w:tr>
      <w:tr w:rsidR="00151749" w:rsidRPr="004637D5" w14:paraId="343FCE9D" w14:textId="77777777" w:rsidTr="00FC3C61">
        <w:tc>
          <w:tcPr>
            <w:tcW w:w="4672" w:type="dxa"/>
          </w:tcPr>
          <w:p w14:paraId="0C8CCF75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Більше</w:t>
            </w:r>
            <w:proofErr w:type="spellEnd"/>
            <w:r w:rsidRPr="004637D5">
              <w:rPr>
                <w:rFonts w:ascii="Times New Roman" w:hAnsi="Times New Roman" w:cs="Times New Roman"/>
                <w:lang w:val="ru-RU"/>
              </w:rPr>
              <w:t xml:space="preserve"> 2,8</w:t>
            </w:r>
          </w:p>
        </w:tc>
        <w:tc>
          <w:tcPr>
            <w:tcW w:w="4673" w:type="dxa"/>
          </w:tcPr>
          <w:p w14:paraId="10FF7BDF" w14:textId="77777777" w:rsidR="00151749" w:rsidRPr="004637D5" w:rsidRDefault="00151749" w:rsidP="00FC3C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37D5">
              <w:rPr>
                <w:rFonts w:ascii="Times New Roman" w:hAnsi="Times New Roman" w:cs="Times New Roman"/>
                <w:lang w:val="ru-RU"/>
              </w:rPr>
              <w:t xml:space="preserve">51,6 і </w:t>
            </w:r>
            <w:proofErr w:type="spellStart"/>
            <w:r w:rsidRPr="004637D5">
              <w:rPr>
                <w:rFonts w:ascii="Times New Roman" w:hAnsi="Times New Roman" w:cs="Times New Roman"/>
                <w:lang w:val="ru-RU"/>
              </w:rPr>
              <w:t>більше</w:t>
            </w:r>
            <w:proofErr w:type="spellEnd"/>
          </w:p>
        </w:tc>
      </w:tr>
      <w:bookmarkEnd w:id="5"/>
    </w:tbl>
    <w:p w14:paraId="0EE62425" w14:textId="77777777" w:rsidR="00151749" w:rsidRDefault="00151749" w:rsidP="0015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14:paraId="2E056161" w14:textId="2C07AD55" w:rsidR="00151749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підкреслити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значеннями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таких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показників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як РWC170 і МСК,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поряд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визначенням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адаптаційних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можна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встановлювати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також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працездатність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 (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тобто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професійну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придатність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та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групу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інвалідності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придатність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трудової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МСК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має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велике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спорті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і, перш за все, при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первинному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відборі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дітей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занять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різні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види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спорту,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зокрема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ті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розвивають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витривалість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Крім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того,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цей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критерієм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ефективності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застосування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різних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методів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дозволяє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прогнозувати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результати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будуть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спортсменом при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змаганнях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. В</w:t>
      </w:r>
      <w:r w:rsidR="00960697" w:rsidRPr="00960697">
        <w:rPr>
          <w:rFonts w:ascii="Times New Roman" w:eastAsia="TimesNewRoman" w:hAnsi="Times New Roman" w:cs="Times New Roman"/>
          <w:color w:val="000000"/>
          <w:sz w:val="28"/>
          <w:szCs w:val="28"/>
        </w:rPr>
        <w:t>ООЗ</w:t>
      </w: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рекомендує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МСК як один з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найнадійніших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методів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дієздатності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різних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сферах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життєдіяльності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відтак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в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спорті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високих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досягнень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7DA4FB48" w14:textId="6D2DA356" w:rsidR="00151749" w:rsidRPr="00EE2B58" w:rsidRDefault="00151749" w:rsidP="001517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FFFFFF"/>
          <w:sz w:val="28"/>
          <w:szCs w:val="28"/>
        </w:rPr>
      </w:pPr>
    </w:p>
    <w:p w14:paraId="3D48E953" w14:textId="77777777" w:rsidR="00151749" w:rsidRPr="00FE1314" w:rsidRDefault="00151749" w:rsidP="00151749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2.</w:t>
      </w:r>
      <w:r w:rsidRPr="00FE1314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Методологія</w:t>
      </w:r>
      <w:proofErr w:type="spellEnd"/>
      <w:r w:rsidRPr="00FE1314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оформлення</w:t>
      </w:r>
      <w:proofErr w:type="spellEnd"/>
      <w:r w:rsidRPr="00FE1314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загального</w:t>
      </w:r>
      <w:proofErr w:type="spellEnd"/>
      <w:r w:rsidRPr="00FE1314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висновку</w:t>
      </w:r>
      <w:proofErr w:type="spellEnd"/>
      <w:r w:rsidRPr="00FE1314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за</w:t>
      </w:r>
      <w:r w:rsidRPr="00FE1314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FE1314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результатами комплексного </w:t>
      </w:r>
      <w:proofErr w:type="spellStart"/>
      <w:r w:rsidRPr="00FE1314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медичного</w:t>
      </w:r>
      <w:proofErr w:type="spellEnd"/>
      <w:r w:rsidRPr="00FE1314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обстеження</w:t>
      </w:r>
      <w:proofErr w:type="spellEnd"/>
    </w:p>
    <w:p w14:paraId="312BEBD8" w14:textId="388AC856" w:rsidR="00151749" w:rsidRPr="00EE2B58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Після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завершення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комплексного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медичного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проводять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узагальнення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аналіз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результатів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оформлюють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висновок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особи.</w:t>
      </w:r>
    </w:p>
    <w:p w14:paraId="0EB958E6" w14:textId="7666EB98" w:rsidR="00151749" w:rsidRPr="00EE2B58" w:rsidRDefault="00151749" w:rsidP="00AB73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bookmarkStart w:id="6" w:name="_Hlk148181157"/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Згідно</w:t>
      </w:r>
      <w:proofErr w:type="spellEnd"/>
      <w:r w:rsidR="00960697" w:rsidRPr="0096069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лікарсько-контрольної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картки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форми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061-о у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висновку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відображаються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дані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розвиток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стан, стан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здоров'я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допуск до занять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вправами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визначенням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напрямку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зокрема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допуск до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змагань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медична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група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режим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рухової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активності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необхідність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направлення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фахівця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певній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галузі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медицини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додаткові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клінічні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інструментальні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уточнення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даних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(за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необхідності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термін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повторної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явки для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додаткові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рекомендації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профілактичних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реабілітаційних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заходів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медичний</w:t>
      </w:r>
      <w:proofErr w:type="spellEnd"/>
      <w:r w:rsidR="00AB730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висновок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повинен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відповідати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нижченаведеній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схемі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77942E1E" w14:textId="77777777" w:rsidR="00151749" w:rsidRPr="00EE2B58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</w:pPr>
      <w:bookmarkStart w:id="7" w:name="_Hlk148181310"/>
      <w:bookmarkEnd w:id="6"/>
      <w:r w:rsidRPr="00EE2B5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Схема </w:t>
      </w:r>
      <w:proofErr w:type="spellStart"/>
      <w:r w:rsidRPr="00EE2B5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медичного</w:t>
      </w:r>
      <w:proofErr w:type="spellEnd"/>
      <w:r w:rsidRPr="00EE2B5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висновку</w:t>
      </w:r>
      <w:proofErr w:type="spellEnd"/>
    </w:p>
    <w:p w14:paraId="0ABA2871" w14:textId="77777777" w:rsidR="00151749" w:rsidRPr="00FE1314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Оцінка</w:t>
      </w:r>
      <w:proofErr w:type="spellEnd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ступеню</w:t>
      </w:r>
      <w:proofErr w:type="spellEnd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фізичного</w:t>
      </w:r>
      <w:proofErr w:type="spellEnd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розвитку</w:t>
      </w:r>
      <w:proofErr w:type="spellEnd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</w:p>
    <w:p w14:paraId="22AE2E20" w14:textId="77777777" w:rsidR="00151749" w:rsidRPr="00EE2B58" w:rsidRDefault="00151749" w:rsidP="001517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а.</w:t>
      </w: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середній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вище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нижче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середній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високий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низький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;</w:t>
      </w:r>
    </w:p>
    <w:p w14:paraId="0F2C4883" w14:textId="77777777" w:rsidR="00151749" w:rsidRPr="00EE2B58" w:rsidRDefault="00151749" w:rsidP="001517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б.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гармонійний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дисгармонійний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вказати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ознаки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дисгармонійності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).</w:t>
      </w:r>
    </w:p>
    <w:p w14:paraId="30E6769F" w14:textId="77777777" w:rsidR="00151749" w:rsidRPr="00FE1314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Оцінка</w:t>
      </w:r>
      <w:proofErr w:type="spellEnd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функціонального</w:t>
      </w:r>
      <w:proofErr w:type="spellEnd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стану та </w:t>
      </w:r>
      <w:proofErr w:type="spellStart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функціональних</w:t>
      </w:r>
      <w:proofErr w:type="spellEnd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можливостей</w:t>
      </w:r>
      <w:proofErr w:type="spellEnd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організму</w:t>
      </w:r>
      <w:proofErr w:type="spellEnd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</w:p>
    <w:p w14:paraId="146191F9" w14:textId="77777777" w:rsidR="00151749" w:rsidRPr="00EE2B58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функціонального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враховують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тип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кровообігу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фізичне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нормотензивний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гіпотензивний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гіпертензивний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гіперреактивний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дістензивний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східчастий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визначають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яким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був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нормальний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уповільнений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уповільнений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а також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оцінюють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результати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інших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проб.</w:t>
      </w:r>
    </w:p>
    <w:p w14:paraId="7E29B99F" w14:textId="77777777" w:rsidR="00151749" w:rsidRPr="00EE2B58" w:rsidRDefault="00151749" w:rsidP="001517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оцінюється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як:</w:t>
      </w:r>
    </w:p>
    <w:p w14:paraId="21C3037F" w14:textId="77777777" w:rsidR="00151749" w:rsidRPr="00EE2B58" w:rsidRDefault="00151749" w:rsidP="001517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добрий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високий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),</w:t>
      </w:r>
    </w:p>
    <w:p w14:paraId="5169E6FE" w14:textId="77777777" w:rsidR="00151749" w:rsidRPr="00EE2B58" w:rsidRDefault="00151749" w:rsidP="001517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задовільний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середній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),</w:t>
      </w:r>
    </w:p>
    <w:p w14:paraId="66CF7F87" w14:textId="77777777" w:rsidR="00151749" w:rsidRPr="00EE2B58" w:rsidRDefault="00151749" w:rsidP="001517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незадовільний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низький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),</w:t>
      </w:r>
    </w:p>
    <w:p w14:paraId="415C5567" w14:textId="77777777" w:rsidR="00151749" w:rsidRPr="00EE2B58" w:rsidRDefault="00151749" w:rsidP="001517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ознаками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перевтоми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перенапруження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вказати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боку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яких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систем).</w:t>
      </w:r>
    </w:p>
    <w:p w14:paraId="0E4537D3" w14:textId="77777777" w:rsidR="00151749" w:rsidRPr="00FE1314" w:rsidRDefault="00151749" w:rsidP="0015174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3. </w:t>
      </w:r>
      <w:proofErr w:type="spellStart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Загальна</w:t>
      </w:r>
      <w:proofErr w:type="spellEnd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оцінка</w:t>
      </w:r>
      <w:proofErr w:type="spellEnd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стану </w:t>
      </w:r>
      <w:proofErr w:type="spellStart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здоров’я</w:t>
      </w:r>
      <w:proofErr w:type="spellEnd"/>
      <w:r w:rsidRPr="00FE13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</w:p>
    <w:p w14:paraId="107B403E" w14:textId="77777777" w:rsidR="00151749" w:rsidRPr="00EE2B58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Здійснюється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обов’язково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підставі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врахування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показників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 і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функціонального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занотовується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відповідній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графі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наступним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чином:</w:t>
      </w:r>
    </w:p>
    <w:p w14:paraId="635C52E7" w14:textId="77777777" w:rsidR="00151749" w:rsidRPr="00EE2B58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1951C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А</w:t>
      </w: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Здоровий</w:t>
      </w: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не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виявлено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будь-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яких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відхилень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фізичному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функціональному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;</w:t>
      </w:r>
    </w:p>
    <w:p w14:paraId="67E55396" w14:textId="77777777" w:rsidR="00151749" w:rsidRPr="00EE2B58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1951C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Б.</w:t>
      </w: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Практично здоровий</w:t>
      </w: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наявність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незначних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відхилень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низькі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дисгармонійні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дещо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уповільнений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нормотензивному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типі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інші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зміни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суттєво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впливають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пристосування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індивіда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bookmarkEnd w:id="7"/>
    <w:p w14:paraId="63C4A25E" w14:textId="77777777" w:rsidR="00151749" w:rsidRPr="00EE2B58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Але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такі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потребують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певної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уваги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обов’язково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вказати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особливо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відмічати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наявність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осередків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хронічної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інфекції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каріозні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зуби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компенсовані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субкомпенсовані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форми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хронічного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тонзиліту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бронхіту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холециститу та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ін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.) Допуск до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занять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вправами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таких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буде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можливим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тільки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умови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ретельної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санації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радикального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лікування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995DA2D" w14:textId="77777777" w:rsidR="00151749" w:rsidRPr="00EE2B58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bookmarkStart w:id="8" w:name="_Hlk148181356"/>
      <w:r w:rsidRPr="001951C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</w:t>
      </w: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Відхилення</w:t>
      </w:r>
      <w:proofErr w:type="spellEnd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в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стані</w:t>
      </w:r>
      <w:proofErr w:type="spellEnd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здоров’я</w:t>
      </w:r>
      <w:bookmarkEnd w:id="8"/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яке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впливати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здібності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фізичну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працездатність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занять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вправами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При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відхилень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здоров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'</w:t>
      </w: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я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враховується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наступне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:</w:t>
      </w:r>
    </w:p>
    <w:p w14:paraId="54DFA4A6" w14:textId="77777777" w:rsidR="00151749" w:rsidRPr="00FE1314" w:rsidRDefault="00151749" w:rsidP="00151749">
      <w:pPr>
        <w:pStyle w:val="a4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Ступінь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вірогідності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наявності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прихованої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патології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підставі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анамнестичних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даних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перенесені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раніше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хвороби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дитячі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інфекційні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захворювання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кір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скарлатина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ін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.; гепатит;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тонзиліт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gram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т.п.</w:t>
      </w:r>
      <w:proofErr w:type="gram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проведене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лікування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приводу, а також на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основі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конституційних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особливостей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індивіда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22BC45E7" w14:textId="77777777" w:rsidR="00151749" w:rsidRPr="00FE1314" w:rsidRDefault="00151749" w:rsidP="00151749">
      <w:pPr>
        <w:pStyle w:val="a4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Ступінь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вірогідності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виникнення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патології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процесі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тренувань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підставі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даних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сімейного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анамнезу про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ускладнену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спадковість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наявність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гіпертонічної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хвороби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ішемічної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хвороби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серця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інсульту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інфаркту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сахарного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діабету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венозної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недостатності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ін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В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анамнезі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близьких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родичів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особливо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дані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випадки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смерті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цих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захворювань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молодому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віці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).</w:t>
      </w:r>
    </w:p>
    <w:p w14:paraId="2BD28157" w14:textId="52AF92F2" w:rsidR="00151749" w:rsidRPr="00EE2B58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завжди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пам’ятати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відсутність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CD679B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у</w:t>
      </w: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час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навіть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комплексного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виключає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тенденції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виникнення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патології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5B8B8F4" w14:textId="77777777" w:rsidR="00151749" w:rsidRPr="001A5CAB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bookmarkStart w:id="9" w:name="_Hlk148181376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4. Допуск до занять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фізичними</w:t>
      </w:r>
      <w:proofErr w:type="spellEnd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вправами</w:t>
      </w:r>
      <w:proofErr w:type="spellEnd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визначення</w:t>
      </w:r>
      <w:proofErr w:type="spellEnd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медичної</w:t>
      </w:r>
      <w:proofErr w:type="spellEnd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групи</w:t>
      </w:r>
      <w:proofErr w:type="spellEnd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</w:p>
    <w:bookmarkEnd w:id="9"/>
    <w:p w14:paraId="5A9C3404" w14:textId="77777777" w:rsidR="00151749" w:rsidRPr="00EE2B58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даними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1951C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стану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особи, а також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залежно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1951C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підготовленості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індивіда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враховуючи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анамнез)</w:t>
      </w:r>
      <w:r w:rsidRPr="001951C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вирішують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питання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щодо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допуску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тренувань</w:t>
      </w:r>
      <w:proofErr w:type="spellEnd"/>
      <w:r w:rsidRPr="001951C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деталізацією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напрямку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спортом,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оздоровчою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фізичною</w:t>
      </w:r>
      <w:proofErr w:type="spellEnd"/>
      <w:r w:rsidRPr="001951C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культурою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лікувальною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фізичною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культурою.</w:t>
      </w:r>
    </w:p>
    <w:p w14:paraId="35847351" w14:textId="5E1581CF" w:rsidR="00151749" w:rsidRPr="00EE2B58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Для занять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фізичною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культурою (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вихованням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вищих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навчальних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закладах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всі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студенти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розподіляються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групи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‒ </w:t>
      </w:r>
      <w:proofErr w:type="spellStart"/>
      <w:r w:rsidRPr="00EE2B58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>основну</w:t>
      </w:r>
      <w:proofErr w:type="spellEnd"/>
      <w:r w:rsidRPr="00EE2B58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EE2B58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>підготовчу</w:t>
      </w:r>
      <w:proofErr w:type="spellEnd"/>
      <w:r w:rsidRPr="00EE2B58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та </w:t>
      </w:r>
      <w:proofErr w:type="spellStart"/>
      <w:r w:rsidRPr="00EE2B58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>спеціальну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Для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яким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поважних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причин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можна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займатися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вищезазначених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групах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рекомендують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групах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ЛФК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самостійні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ЛФК за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настановою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(за умов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відсутності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протипоказань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Якщо</w:t>
      </w:r>
      <w:proofErr w:type="spellEnd"/>
      <w:r w:rsidRPr="001951C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можливим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допуск до занять спортом, то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враховуючи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ті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неймовірно</w:t>
      </w:r>
      <w:proofErr w:type="spellEnd"/>
      <w:r w:rsidRPr="001951C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великі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притаманні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сучасному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спорту,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дозвіл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такі</w:t>
      </w:r>
      <w:proofErr w:type="spellEnd"/>
      <w:r w:rsidRPr="001951C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лікар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давати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лише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тим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особам,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мають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медичних</w:t>
      </w:r>
      <w:proofErr w:type="spellEnd"/>
      <w:r w:rsidRPr="001951C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протипоказань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досягли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певного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особливо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стосується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дітей</w:t>
      </w:r>
      <w:proofErr w:type="spellEnd"/>
      <w:r w:rsidRPr="001951C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підлітків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). При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цьому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враховується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наявність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протипоказань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, як до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занять спортом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взагалі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так і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певними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видами і в кожному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конкретному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випадку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уточнюється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спрямованість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спортивних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масштаб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змагань</w:t>
      </w:r>
      <w:proofErr w:type="spellEnd"/>
      <w:r w:rsidR="00CD679B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="00CD679B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="00CD679B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CD679B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плануються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ін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3548B98D" w14:textId="77777777" w:rsidR="00151749" w:rsidRPr="001A5CAB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bookmarkStart w:id="10" w:name="_Hlk148181428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5.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Медичні</w:t>
      </w:r>
      <w:proofErr w:type="spellEnd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рекомендації</w:t>
      </w:r>
      <w:proofErr w:type="spellEnd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щодо</w:t>
      </w:r>
      <w:proofErr w:type="spellEnd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режиму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рухової</w:t>
      </w:r>
      <w:proofErr w:type="spellEnd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активності</w:t>
      </w:r>
      <w:proofErr w:type="spellEnd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</w:p>
    <w:p w14:paraId="420328DE" w14:textId="77777777" w:rsidR="00151749" w:rsidRPr="001951CB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Виділяють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згідно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рекомендацій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зазвичай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чотири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види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рухових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режимів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оздоровчих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відновних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1951C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щадний</w:t>
      </w:r>
      <w:proofErr w:type="spellEnd"/>
      <w:r w:rsidRPr="001951C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1951C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щадно-тренуючий</w:t>
      </w:r>
      <w:proofErr w:type="spellEnd"/>
      <w:r w:rsidRPr="001951C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1951C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тренуючий</w:t>
      </w:r>
      <w:proofErr w:type="spellEnd"/>
      <w:r w:rsidRPr="001951C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,</w:t>
      </w:r>
      <w:r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1951C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інтенсивно-тренуючий</w:t>
      </w:r>
      <w:proofErr w:type="spellEnd"/>
      <w:r w:rsidRPr="001951C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bookmarkEnd w:id="10"/>
    <w:p w14:paraId="0E43B3E7" w14:textId="77777777" w:rsidR="00151749" w:rsidRPr="00EE2B58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 xml:space="preserve">При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призначенні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певного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рухового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режиму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лікарю</w:t>
      </w:r>
      <w:proofErr w:type="spellEnd"/>
      <w:r w:rsidRPr="001951C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фізреабілітологу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бажано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вказати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рахунок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яких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елементів</w:t>
      </w:r>
      <w:proofErr w:type="spellEnd"/>
      <w:r w:rsidRPr="001951C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вправ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збільшувати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зменшувати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інтенсивність</w:t>
      </w:r>
      <w:proofErr w:type="spellEnd"/>
      <w:r w:rsidRPr="001951C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конкретної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особи, а також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зазначити</w:t>
      </w:r>
      <w:proofErr w:type="spellEnd"/>
      <w:r w:rsidRPr="001951C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тривалість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кратність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565963EE" w14:textId="77777777" w:rsidR="00151749" w:rsidRPr="001A5CAB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bookmarkStart w:id="11" w:name="_Hlk148181443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6.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Додаткові</w:t>
      </w:r>
      <w:proofErr w:type="spellEnd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обстеження</w:t>
      </w:r>
      <w:proofErr w:type="spellEnd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</w:p>
    <w:bookmarkEnd w:id="11"/>
    <w:p w14:paraId="3E5B9873" w14:textId="77777777" w:rsidR="00151749" w:rsidRPr="001951CB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разі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якщо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лікарем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достатньо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чітких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позицій</w:t>
      </w:r>
      <w:proofErr w:type="spellEnd"/>
      <w:r w:rsidRPr="001951C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відносно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клінічної</w:t>
      </w:r>
      <w:proofErr w:type="spellEnd"/>
      <w:r w:rsidRPr="001951C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картини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обов’язково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вказати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саме</w:t>
      </w:r>
      <w:proofErr w:type="spellEnd"/>
      <w:r w:rsidRPr="001951C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додаткові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консультації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спеціалістів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1951C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провести і в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терміни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метою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правомірного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призначення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режим</w:t>
      </w:r>
      <w:r w:rsidRPr="001951C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рухової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активності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5AF43856" w14:textId="77777777" w:rsidR="00151749" w:rsidRPr="001A5CAB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bookmarkStart w:id="12" w:name="_Hlk148181460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7.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Терміни</w:t>
      </w:r>
      <w:proofErr w:type="spellEnd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наступного</w:t>
      </w:r>
      <w:proofErr w:type="spellEnd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планового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обстеження</w:t>
      </w:r>
      <w:proofErr w:type="spellEnd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</w:p>
    <w:bookmarkEnd w:id="12"/>
    <w:p w14:paraId="45B7AAFB" w14:textId="7D768370" w:rsidR="00151749" w:rsidRPr="00EE2B58" w:rsidRDefault="00151749" w:rsidP="00CD67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Лікарю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вказати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через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який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термін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особа повинна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з’явитися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наступного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планового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Зазвичай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практично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мають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скарг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віднесені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основної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медичної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групи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проходять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комплексне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медичне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менше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ніж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 раз на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рік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на початку</w:t>
      </w:r>
      <w:proofErr w:type="gram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навчального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року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семестру). Особи,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віднесені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підготовчої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спеціальної</w:t>
      </w:r>
      <w:proofErr w:type="spellEnd"/>
      <w:r w:rsidR="00CD679B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груп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проходять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поглиблені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показаннями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але не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рідше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2-х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разів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навчальний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рік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поточні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3-4</w:t>
      </w:r>
      <w:proofErr w:type="gram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рази на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рік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3227361A" w14:textId="77777777" w:rsidR="00151749" w:rsidRPr="001A5CAB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bookmarkStart w:id="13" w:name="_Hlk148181475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8.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Призначення</w:t>
      </w:r>
      <w:proofErr w:type="spellEnd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інших</w:t>
      </w:r>
      <w:proofErr w:type="spellEnd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профілактичних</w:t>
      </w:r>
      <w:proofErr w:type="spellEnd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або</w:t>
      </w:r>
      <w:proofErr w:type="spellEnd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реабілітаційних</w:t>
      </w:r>
      <w:proofErr w:type="spellEnd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заходів</w:t>
      </w:r>
      <w:proofErr w:type="spellEnd"/>
      <w:r w:rsidRPr="001A5C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</w:p>
    <w:bookmarkEnd w:id="13"/>
    <w:p w14:paraId="255351E6" w14:textId="77777777" w:rsidR="00151749" w:rsidRPr="00EE2B58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Питання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доцільності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призначення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додаткових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лікувально-профілактичних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заходів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вирішуються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лікарем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при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цьому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він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чітко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вказує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терміни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дозування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тривалість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необхідність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припинення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зміни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характеру при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наявності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ознак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перенапруження</w:t>
      </w:r>
      <w:proofErr w:type="spellEnd"/>
      <w:r w:rsidRPr="00EE2B5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8799EDA" w14:textId="77777777" w:rsidR="00151749" w:rsidRDefault="00151749" w:rsidP="001517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7461D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Комплектація</w:t>
      </w:r>
      <w:proofErr w:type="spellEnd"/>
      <w:r w:rsidRPr="007461D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медичних</w:t>
      </w:r>
      <w:proofErr w:type="spellEnd"/>
      <w:r w:rsidRPr="007461D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груп</w:t>
      </w:r>
      <w:proofErr w:type="spellEnd"/>
    </w:p>
    <w:p w14:paraId="3CCFD0CF" w14:textId="61CDEAAF" w:rsidR="00151749" w:rsidRPr="007461DA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745EBC">
        <w:rPr>
          <w:rFonts w:ascii="Times New Roman" w:eastAsia="TimesNewRoman" w:hAnsi="Times New Roman" w:cs="Times New Roman"/>
          <w:color w:val="000000"/>
          <w:sz w:val="28"/>
          <w:szCs w:val="28"/>
        </w:rPr>
        <w:t>В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ідповідно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 медико-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педагогічний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контроль за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вихованням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учнів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загальноосвітніх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навчальних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закладах (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затверджено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Наказом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Міністерства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охорони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Міністерства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освіти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науки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20.07.2009 № 518/674).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Правомірний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розподіл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різних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категорій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населення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медичні</w:t>
      </w:r>
      <w:proofErr w:type="spellEnd"/>
      <w:r w:rsidRPr="00CC2AA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групи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занять з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виховання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забезпечує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призначення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більш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ретельного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оптимального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дозування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дозволяє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з одного боку –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підвищити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ефективність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й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безпеку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вправами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з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іншого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кращим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чином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подолати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наслідки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гіподинамії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гіпокінезії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притаманні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значн</w:t>
      </w:r>
      <w:r w:rsidR="00CD679B" w:rsidRPr="00CD679B">
        <w:rPr>
          <w:rFonts w:ascii="Times New Roman" w:eastAsia="TimesNewRoman" w:hAnsi="Times New Roman" w:cs="Times New Roman"/>
          <w:color w:val="000000"/>
          <w:sz w:val="28"/>
          <w:szCs w:val="28"/>
        </w:rPr>
        <w:t>ою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мір</w:t>
      </w:r>
      <w:r w:rsidR="00CD679B" w:rsidRPr="00CD679B">
        <w:rPr>
          <w:rFonts w:ascii="Times New Roman" w:eastAsia="TimesNewRoman" w:hAnsi="Times New Roman" w:cs="Times New Roman"/>
          <w:color w:val="000000"/>
          <w:sz w:val="28"/>
          <w:szCs w:val="28"/>
        </w:rPr>
        <w:t>ою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особам з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відхиленнями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психосоматичного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B8A7735" w14:textId="77777777" w:rsidR="00151749" w:rsidRPr="007461DA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Комплектація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груп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з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обов’язково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необхідним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враховуванням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об’єму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дози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змісту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тих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нормативних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вимог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допусків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встановлені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кожної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цих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груп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17F133CF" w14:textId="2DE53A48" w:rsidR="00151749" w:rsidRPr="007461DA" w:rsidRDefault="00151749" w:rsidP="00CD67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Як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вже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було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наголошено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для занять з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до стану</w:t>
      </w:r>
      <w:proofErr w:type="gram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виділяють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3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групи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461DA">
        <w:rPr>
          <w:rFonts w:ascii="Times New Roman" w:eastAsia="TimesNewRoman,Italic" w:hAnsi="Times New Roman" w:cs="Times New Roman"/>
          <w:color w:val="000000"/>
          <w:sz w:val="28"/>
          <w:szCs w:val="28"/>
        </w:rPr>
        <w:t>основну</w:t>
      </w:r>
      <w:proofErr w:type="spellEnd"/>
      <w:r w:rsidRPr="007461DA">
        <w:rPr>
          <w:rFonts w:ascii="Times New Roman" w:eastAsia="TimesNewRoman,Italic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,Italic" w:hAnsi="Times New Roman" w:cs="Times New Roman"/>
          <w:color w:val="000000"/>
          <w:sz w:val="28"/>
          <w:szCs w:val="28"/>
        </w:rPr>
        <w:t>підготовчу</w:t>
      </w:r>
      <w:proofErr w:type="spellEnd"/>
      <w:r w:rsidRPr="007461DA">
        <w:rPr>
          <w:rFonts w:ascii="Times New Roman" w:eastAsia="TimesNewRoman,Italic" w:hAnsi="Times New Roman" w:cs="Times New Roman"/>
          <w:color w:val="000000"/>
          <w:sz w:val="28"/>
          <w:szCs w:val="28"/>
        </w:rPr>
        <w:t xml:space="preserve"> 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7461DA">
        <w:rPr>
          <w:rFonts w:ascii="Times New Roman" w:eastAsia="TimesNewRoman,Italic" w:hAnsi="Times New Roman" w:cs="Times New Roman"/>
          <w:color w:val="000000"/>
          <w:sz w:val="28"/>
          <w:szCs w:val="28"/>
        </w:rPr>
        <w:t>спеціальну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Останнім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часом,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враховуючи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зростання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кількості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учнів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студентів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ВНЗ з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наявними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відхиленнями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психосоматичного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(в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Україні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понад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60%)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фахівці</w:t>
      </w:r>
      <w:proofErr w:type="spellEnd"/>
      <w:r w:rsidR="00CD679B" w:rsidRPr="00CD679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пропонують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також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виділяти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групу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7461DA">
        <w:rPr>
          <w:rFonts w:ascii="Times New Roman" w:eastAsia="TimesNewRoman,Italic" w:hAnsi="Times New Roman" w:cs="Times New Roman"/>
          <w:color w:val="000000"/>
          <w:sz w:val="28"/>
          <w:szCs w:val="28"/>
        </w:rPr>
        <w:t>ЛФК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1B5D5CE6" w14:textId="77777777" w:rsidR="00151749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C250A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До </w:t>
      </w:r>
      <w:proofErr w:type="spellStart"/>
      <w:r w:rsidRPr="00C250AA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основної</w:t>
      </w:r>
      <w:proofErr w:type="spellEnd"/>
      <w:r w:rsidRPr="00C250AA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250AA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медичної</w:t>
      </w:r>
      <w:proofErr w:type="spellEnd"/>
      <w:r w:rsidRPr="00C250AA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250AA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групи</w:t>
      </w:r>
      <w:proofErr w:type="spellEnd"/>
      <w:r w:rsidRPr="007461DA">
        <w:rPr>
          <w:rFonts w:ascii="Times New Roman" w:eastAsia="TimesNewRoman,Italic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відносять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практично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пред’являють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ніяких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скарг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не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мають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вад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психофізичного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мають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достатню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підготовленість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високі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нормотензивний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тип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стандартне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фізичне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швидкий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показників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пульсу та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артеріального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тиску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проб). Для таких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проводяться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стандартною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навчальною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програмою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повному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обсязі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їм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дозволяють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тренуватись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спортивних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секціях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брати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участь у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змаганнях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</w:p>
    <w:p w14:paraId="67C1AF15" w14:textId="77777777" w:rsidR="00151749" w:rsidRPr="007461DA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цієї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ж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групи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зараховують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середнього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похилого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без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наявності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суттєвих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відхилень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здоров'я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умови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достатньої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підготовленості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Pr="00C250A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Вищезазначеним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особам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рекомендуються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групах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загальної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підготовки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Здоров'я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», вони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можуть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приймати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участь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змаганнях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здавати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нормативи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врахуванням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статі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C669611" w14:textId="77777777" w:rsidR="00151749" w:rsidRPr="007461DA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C250A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До </w:t>
      </w:r>
      <w:proofErr w:type="spellStart"/>
      <w:r w:rsidRPr="00C250AA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підготовчої</w:t>
      </w:r>
      <w:proofErr w:type="spellEnd"/>
      <w:r w:rsidRPr="00C250AA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250AA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медичної</w:t>
      </w:r>
      <w:proofErr w:type="spellEnd"/>
      <w:r w:rsidRPr="00C250AA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250AA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груп</w:t>
      </w:r>
      <w:r w:rsidRPr="007461DA">
        <w:rPr>
          <w:rFonts w:ascii="Times New Roman" w:eastAsia="TimesNewRoman,Italic" w:hAnsi="Times New Roman" w:cs="Times New Roman"/>
          <w:color w:val="000000"/>
          <w:sz w:val="28"/>
          <w:szCs w:val="28"/>
        </w:rPr>
        <w:t>и</w:t>
      </w:r>
      <w:proofErr w:type="spellEnd"/>
      <w:r w:rsidRPr="007461DA">
        <w:rPr>
          <w:rFonts w:ascii="Times New Roman" w:eastAsia="TimesNewRoman,Italic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відносять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мають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незначні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психофізичного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дещо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знижені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можливості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наявність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затримки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показників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пульсу та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артеріального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тиску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нормотензивному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типу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виникнення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патологічних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типів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стандартне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умов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відсутності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будь-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якої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прихованої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хронічної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а також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несуттєві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відхилення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заважають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заняттям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вправами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обсязі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навчальних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програм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виховання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закладах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освіти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Комплектація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підготовчої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медичної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групи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також за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рахунок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практично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мають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низькій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підготовленості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починають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перерв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тренуваннях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тимчасово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знаходяться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відновлюваному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перенесення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деяких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гострих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До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даної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групи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також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зараховують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FE660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середнього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похилого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незначними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відхиленнями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FE660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здоров'я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тлі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нормативних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темпів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старіння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без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істотних</w:t>
      </w:r>
      <w:proofErr w:type="spellEnd"/>
      <w:r w:rsidRPr="00FE660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психосоматичних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розладів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зазначеним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особам рекомендовано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проводити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групах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загальної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підготовки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Здоров'я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» за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спеціальними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програмами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різних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вікових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категорій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5697D10F" w14:textId="44E1AA55" w:rsidR="00151749" w:rsidRPr="007461DA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Відносно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з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виховання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FE660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займаються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підготовчій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групі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підкреслити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вони</w:t>
      </w:r>
      <w:r w:rsidRPr="00FE660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здійснюються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спільно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тими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особами,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хто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займається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основній</w:t>
      </w:r>
      <w:proofErr w:type="spellEnd"/>
      <w:r w:rsidRPr="00FE660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групі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за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тими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64358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самими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навчальними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програмами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здачею</w:t>
      </w:r>
      <w:proofErr w:type="spellEnd"/>
      <w:r w:rsidRPr="0064358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встановлених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контрольних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нормативів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Але, </w:t>
      </w:r>
      <w:r w:rsidRPr="00904204">
        <w:rPr>
          <w:rFonts w:ascii="Times New Roman" w:eastAsia="TimesNewRoman" w:hAnsi="Times New Roman" w:cs="Times New Roman"/>
          <w:color w:val="000000"/>
          <w:sz w:val="28"/>
          <w:szCs w:val="28"/>
        </w:rPr>
        <w:t>особи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займаються</w:t>
      </w:r>
      <w:proofErr w:type="spellEnd"/>
      <w:r w:rsidRPr="0090420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підготовчій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групі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потребують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певного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обмеження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тренувальних</w:t>
      </w:r>
      <w:proofErr w:type="spellEnd"/>
      <w:r w:rsidRPr="00FE660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їм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забезпечити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більш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поступове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поетапне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)</w:t>
      </w:r>
      <w:r w:rsidRPr="00FE660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засвоєння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комплексу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рухових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навичок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вмінь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пов’язано</w:t>
      </w:r>
      <w:proofErr w:type="spellEnd"/>
      <w:r w:rsidRPr="00FE660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підвищеними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вимогами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адаптаційних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r w:rsidRPr="00C250AA">
        <w:rPr>
          <w:rFonts w:ascii="Times New Roman" w:eastAsia="TimesNewRoman" w:hAnsi="Times New Roman" w:cs="Times New Roman"/>
          <w:color w:val="000000"/>
          <w:sz w:val="28"/>
          <w:szCs w:val="28"/>
        </w:rPr>
        <w:t>нього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FE660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тому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такі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мають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право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здавати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контрольні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нормативи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межах</w:t>
      </w:r>
      <w:r w:rsidRPr="00FE660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своїх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здібностей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за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власним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бажанням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Для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даної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категорії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FE660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корисні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організовані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додаткові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позанавчальні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загальною</w:t>
      </w:r>
      <w:proofErr w:type="spellEnd"/>
      <w:r w:rsidRPr="00FE660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фізичною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підготовкою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призначаються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орієнтовані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заходи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FE660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реабілітації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193BFFD9" w14:textId="77777777" w:rsidR="00151749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C250A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До </w:t>
      </w:r>
      <w:proofErr w:type="spellStart"/>
      <w:r w:rsidRPr="00C250AA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спеціальної</w:t>
      </w:r>
      <w:proofErr w:type="spellEnd"/>
      <w:r w:rsidRPr="00C250AA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250AA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медичної</w:t>
      </w:r>
      <w:proofErr w:type="spellEnd"/>
      <w:r w:rsidRPr="00C250AA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250AA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групи</w:t>
      </w:r>
      <w:proofErr w:type="spellEnd"/>
      <w:r w:rsidRPr="00C250AA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відносять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</w:p>
    <w:p w14:paraId="2DD2E1AE" w14:textId="77777777" w:rsidR="00151749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C250AA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1.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50AA">
        <w:rPr>
          <w:rFonts w:ascii="Times New Roman" w:eastAsia="TimesNewRoman" w:hAnsi="Times New Roman" w:cs="Times New Roman"/>
          <w:color w:val="000000"/>
          <w:sz w:val="28"/>
          <w:szCs w:val="28"/>
        </w:rPr>
        <w:t>О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сіб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із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значними</w:t>
      </w:r>
      <w:proofErr w:type="spellEnd"/>
      <w:r w:rsidRPr="00FE660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відхиленнями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незадовільним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рівнем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FE660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підготовленості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;</w:t>
      </w:r>
    </w:p>
    <w:p w14:paraId="0E288C62" w14:textId="77777777" w:rsidR="00151749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2. </w:t>
      </w:r>
      <w:proofErr w:type="spellStart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Осіб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аномаліями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зокрема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вадами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опорно-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рухового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апарату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); </w:t>
      </w:r>
    </w:p>
    <w:p w14:paraId="449E399C" w14:textId="77777777" w:rsidR="00151749" w:rsidRPr="007461DA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C250AA">
        <w:rPr>
          <w:rFonts w:ascii="Times New Roman" w:eastAsia="TimesNewRoman" w:hAnsi="Times New Roman" w:cs="Times New Roman"/>
          <w:color w:val="000000"/>
          <w:sz w:val="28"/>
          <w:szCs w:val="28"/>
        </w:rPr>
        <w:t>3.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50AA">
        <w:rPr>
          <w:rFonts w:ascii="Times New Roman" w:eastAsia="TimesNewRoman" w:hAnsi="Times New Roman" w:cs="Times New Roman"/>
          <w:color w:val="000000"/>
          <w:sz w:val="28"/>
          <w:szCs w:val="28"/>
        </w:rPr>
        <w:t>О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сіб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мають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незадовільний</w:t>
      </w:r>
      <w:proofErr w:type="spellEnd"/>
      <w:r w:rsidRPr="00FE660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функціональний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 (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наявність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патологічних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реакцій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стандартне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фізичне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факторів</w:t>
      </w:r>
      <w:proofErr w:type="spellEnd"/>
      <w:r w:rsidRPr="00FE660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ризику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певних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прихованої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);</w:t>
      </w:r>
    </w:p>
    <w:p w14:paraId="0514DD62" w14:textId="77777777" w:rsidR="00151749" w:rsidRPr="007461DA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C250AA">
        <w:rPr>
          <w:rFonts w:ascii="Times New Roman" w:eastAsia="TimesNewRoman" w:hAnsi="Times New Roman" w:cs="Times New Roman"/>
          <w:color w:val="000000"/>
          <w:sz w:val="28"/>
          <w:szCs w:val="28"/>
        </w:rPr>
        <w:t>4.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50AA">
        <w:rPr>
          <w:rFonts w:ascii="Times New Roman" w:eastAsia="TimesNewRoman" w:hAnsi="Times New Roman" w:cs="Times New Roman"/>
          <w:color w:val="000000"/>
          <w:sz w:val="28"/>
          <w:szCs w:val="28"/>
        </w:rPr>
        <w:t>О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сіб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мають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відхилення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тимчасового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характеру</w:t>
      </w:r>
      <w:r w:rsidRPr="00FE660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наявності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хронічної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яких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протипоказані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інтенсивні</w:t>
      </w:r>
      <w:proofErr w:type="spellEnd"/>
      <w:r w:rsidRPr="00FE660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неможливі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загальними</w:t>
      </w:r>
      <w:proofErr w:type="spellEnd"/>
      <w:r w:rsidRPr="00FE660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державними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програмами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основній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підготовчій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групах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C7DA590" w14:textId="77777777" w:rsidR="00151749" w:rsidRPr="007461DA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спеціальній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медичній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групі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здійснюються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спеціально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розробленими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програмами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умовах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звичайного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режиму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навчального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закладу шляхом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окремих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групових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(не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більше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8-10</w:t>
      </w:r>
      <w:proofErr w:type="gram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групі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Приймаючи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уваги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подібність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порушень</w:t>
      </w:r>
      <w:proofErr w:type="spellEnd"/>
      <w:r w:rsidRPr="00FE660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психомоторних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якостей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деяких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захворюваннях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приблизно</w:t>
      </w:r>
      <w:proofErr w:type="spellEnd"/>
      <w:r w:rsidRPr="00FE660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однакове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зниження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працездатності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індивідів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наявності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FE660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а також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аналогічну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мету занять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вправами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можливою</w:t>
      </w:r>
      <w:proofErr w:type="spellEnd"/>
      <w:r w:rsidRPr="00FE660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організація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групових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з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включенням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одну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групу</w:t>
      </w:r>
      <w:proofErr w:type="spellEnd"/>
      <w:r w:rsidRPr="00FE660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різними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захворюваннями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нозологіями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Відносно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середнього</w:t>
      </w:r>
      <w:proofErr w:type="spellEnd"/>
      <w:r w:rsidRPr="00FE660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похилого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C250A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proofErr w:type="gram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зазначити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таким особам з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наявністю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тих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FE660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інших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доцільно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рекомендувати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лікувальної</w:t>
      </w:r>
      <w:proofErr w:type="spellEnd"/>
      <w:r w:rsidRPr="00FE660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фізкультури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певної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корекційної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спрямованості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B453830" w14:textId="12C1F773" w:rsidR="00151749" w:rsidRPr="007461DA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групи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,Italic" w:hAnsi="Times New Roman" w:cs="Times New Roman"/>
          <w:color w:val="000000"/>
          <w:sz w:val="28"/>
          <w:szCs w:val="28"/>
        </w:rPr>
        <w:t>лікувальної</w:t>
      </w:r>
      <w:proofErr w:type="spellEnd"/>
      <w:r w:rsidRPr="007461DA">
        <w:rPr>
          <w:rFonts w:ascii="Times New Roman" w:eastAsia="TimesNewRoman,Italic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,Italic" w:hAnsi="Times New Roman" w:cs="Times New Roman"/>
          <w:color w:val="000000"/>
          <w:sz w:val="28"/>
          <w:szCs w:val="28"/>
        </w:rPr>
        <w:t>фізкультури</w:t>
      </w:r>
      <w:proofErr w:type="spellEnd"/>
      <w:r w:rsidRPr="007461DA">
        <w:rPr>
          <w:rFonts w:ascii="Times New Roman" w:eastAsia="TimesNewRoman,Italic" w:hAnsi="Times New Roman" w:cs="Times New Roman"/>
          <w:color w:val="000000"/>
          <w:sz w:val="28"/>
          <w:szCs w:val="28"/>
        </w:rPr>
        <w:t xml:space="preserve"> (ЛФК)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відносять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FE660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із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значними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відхиленнями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хронічного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незворотнього</w:t>
      </w:r>
      <w:proofErr w:type="spellEnd"/>
      <w:r w:rsidRPr="00FE660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характеру,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із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суттєвими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порушеннями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функцій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опорно-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рухового</w:t>
      </w:r>
      <w:proofErr w:type="spellEnd"/>
      <w:r w:rsidRPr="00FE660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апарату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</w:t>
      </w:r>
      <w:proofErr w:type="spellStart"/>
      <w:r w:rsidR="0064358C" w:rsidRPr="0064358C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мають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загрозливі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наслідки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перенесених</w:t>
      </w:r>
      <w:proofErr w:type="spellEnd"/>
      <w:r w:rsidRPr="00FE660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гострих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оперативних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втручань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травмувань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</w:t>
      </w:r>
      <w:r w:rsidRPr="00FE660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змозі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займатися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спеціальній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медичній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групі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Організація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</w:t>
      </w:r>
      <w:r w:rsidRPr="0036663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ЛФК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малогруповому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2-6</w:t>
      </w:r>
      <w:proofErr w:type="gram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варіанті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. Для</w:t>
      </w:r>
      <w:r w:rsidRPr="00FE660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ЛФК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безпосередньо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навчальних</w:t>
      </w:r>
      <w:proofErr w:type="spellEnd"/>
      <w:r w:rsidRPr="00FE660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освітніх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закладах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створити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умови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</w:t>
      </w:r>
      <w:r w:rsidRPr="00FE660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зокрема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виділити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окреме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приміщення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(зал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кабінет</w:t>
      </w:r>
      <w:proofErr w:type="spellEnd"/>
      <w:r w:rsidRPr="00FE660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ЛФК,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цілком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реальним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та ввести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додатково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існуючого</w:t>
      </w:r>
      <w:proofErr w:type="spellEnd"/>
      <w:r w:rsidRPr="00FE660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штатного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розкладу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посади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спеціалістів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реабілітації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FE660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лікувальної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фізкультури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з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вищою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спеціальною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освітою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39897017" w14:textId="20916932" w:rsidR="00151749" w:rsidRPr="007461DA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тяжких та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серйозних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випадках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психосоматичного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але </w:t>
      </w:r>
      <w:proofErr w:type="gram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</w:t>
      </w:r>
      <w:r w:rsidR="0064358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умов</w:t>
      </w:r>
      <w:proofErr w:type="gram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відсутності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протипоказань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занять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лікувальною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фізкультурою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доцільно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направляти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учнів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студентів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кабінети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відділення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ЛФК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лікувально-профілактичних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закладів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місцем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проживання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навчання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метою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забезпечення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занять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постійного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нагляду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працівників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689DF659" w14:textId="77777777" w:rsidR="00151749" w:rsidRPr="007461DA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Комплектація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вищезазначених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групи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занять</w:t>
      </w:r>
      <w:r w:rsidRPr="005212F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мають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відхилення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5212F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повинна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передбачати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доступність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такої</w:t>
      </w:r>
      <w:proofErr w:type="spellEnd"/>
      <w:r w:rsidRPr="005212F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категорії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можливість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реалізації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оптимальних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умов для</w:t>
      </w:r>
      <w:r w:rsidRPr="005212F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одужання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та/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попередження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загострень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існуючих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захворювань</w:t>
      </w:r>
      <w:proofErr w:type="spellEnd"/>
      <w:r w:rsidRPr="005212F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запобігання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ускладнень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особливо,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інвалідузувального</w:t>
      </w:r>
      <w:proofErr w:type="spellEnd"/>
      <w:r w:rsidRPr="005212F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характеру. При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комплектації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груп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тобто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правомірному</w:t>
      </w:r>
      <w:proofErr w:type="spellEnd"/>
      <w:r w:rsidRPr="0090420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розподілі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підготовчу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спеціальну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групи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повинно</w:t>
      </w:r>
      <w:r w:rsidRPr="0090420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бути шаблонного, стереотипного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підходу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саме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медико-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педагогічний</w:t>
      </w:r>
      <w:proofErr w:type="spellEnd"/>
      <w:r w:rsidRPr="005212F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контроль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завжди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передбачає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реалізацію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творчого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підходу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лікаря</w:t>
      </w:r>
      <w:proofErr w:type="spellEnd"/>
      <w:r w:rsidRPr="005212F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фізреабілітолога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кожного проблемного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індивіда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им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критерієм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включення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 в ту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іншу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групу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безумовно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об’єктивне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психосоматичного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встановлення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валідного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діагнозу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Проте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кожному конкретному</w:t>
      </w:r>
      <w:r w:rsidRPr="005212F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випадку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питання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відносно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віднесення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 до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певної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медичної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групи</w:t>
      </w:r>
      <w:proofErr w:type="spellEnd"/>
      <w:r w:rsidRPr="005212F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повинно</w:t>
      </w:r>
      <w:r w:rsidRPr="005212F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вирішуватись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фахівцями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суто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індивідуально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з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врахуванням</w:t>
      </w:r>
      <w:proofErr w:type="spellEnd"/>
      <w:r w:rsidRPr="005212F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фенотипічних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особливостей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анамнестичних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даних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щодо</w:t>
      </w:r>
      <w:proofErr w:type="spellEnd"/>
      <w:r w:rsidRPr="005212F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перебігу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наслідків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підготовленості</w:t>
      </w:r>
      <w:proofErr w:type="spellEnd"/>
      <w:r w:rsidRPr="005212F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резервів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У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випадках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хронізації</w:t>
      </w:r>
      <w:proofErr w:type="spellEnd"/>
      <w:r w:rsidRPr="005212F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патологічного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тимчасові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обмеження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5212F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загостреннях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причому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тривалість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обмежень</w:t>
      </w:r>
      <w:proofErr w:type="spellEnd"/>
      <w:r w:rsidRPr="005212F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повинна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враховувати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 xml:space="preserve">частоту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загострень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важкість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хвороби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, причини</w:t>
      </w:r>
      <w:r w:rsidRPr="005212F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рецидивів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інші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фактори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F00A5ED" w14:textId="77777777" w:rsidR="00151749" w:rsidRPr="007461DA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Комплектація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спеціальну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групу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групу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ЛФК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5212F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мати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тимчасовий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так і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постійний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характер,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також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залежить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5212F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фенотипічних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особливостей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індивіда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виразності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5212F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психосоматичного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характеру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перебігу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5212F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наявності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ускладнень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5212F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адаптації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 до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інших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супутніх</w:t>
      </w:r>
      <w:proofErr w:type="spellEnd"/>
      <w:r w:rsidRPr="005212F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чинників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За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сприятливих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умов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переведення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із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спеціальної</w:t>
      </w:r>
      <w:proofErr w:type="spellEnd"/>
      <w:r w:rsidRPr="005212F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медичної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групи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групи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ЛФК) в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підготовчу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надалі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5212F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в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групу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повинно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здійснюватися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послідовно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згідно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рекомендацій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</w:t>
      </w:r>
      <w:proofErr w:type="gram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 умов</w:t>
      </w:r>
      <w:proofErr w:type="gram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позитивних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результатів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занять в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попередній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медичній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групі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також</w:t>
      </w:r>
      <w:r w:rsidRPr="005212F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враховувати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основній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групі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навіть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5212F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спортом) при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деяких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захворюваннях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дозволяються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лише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через</w:t>
      </w:r>
      <w:r w:rsidRPr="005212F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дотриманн</w:t>
      </w:r>
      <w:r w:rsidRPr="005212FC">
        <w:rPr>
          <w:rFonts w:ascii="Times New Roman" w:eastAsia="TimesNewRoman" w:hAnsi="Times New Roman" w:cs="Times New Roman"/>
          <w:color w:val="000000"/>
          <w:sz w:val="28"/>
          <w:szCs w:val="28"/>
        </w:rPr>
        <w:t>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певних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вимог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зокрема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постійним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наглядом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лікарів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5212F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при систематичному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клінічних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5212F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а також з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поетапним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дозованим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виключенням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з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5212F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тими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іншими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видами спорту з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врахуванням</w:t>
      </w:r>
      <w:proofErr w:type="spellEnd"/>
      <w:r w:rsidRPr="005212F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адаптаційних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26EA36A9" w14:textId="77777777" w:rsidR="00151749" w:rsidRPr="007461DA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Тимчасові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звільнення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фізичною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культурою</w:t>
      </w:r>
      <w:r w:rsidRPr="004543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навчальних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закладах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деякі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обмеження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4543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бувають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разі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перенесення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людиною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гострих</w:t>
      </w:r>
      <w:proofErr w:type="spellEnd"/>
      <w:r w:rsidRPr="004543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інфекційних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загострення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хронічної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4543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наявності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травм,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ушкоджень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оперативних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втручань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тощо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Терміни</w:t>
      </w:r>
      <w:proofErr w:type="spellEnd"/>
      <w:r w:rsidRPr="004543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вправами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закладах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освіти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таких</w:t>
      </w:r>
      <w:r w:rsidRPr="004543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випадках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повинні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визначатися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лікарем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індивідуально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з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урахуванням</w:t>
      </w:r>
      <w:proofErr w:type="spellEnd"/>
      <w:r w:rsidRPr="004543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стану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резервів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її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основних</w:t>
      </w:r>
      <w:proofErr w:type="spellEnd"/>
      <w:r w:rsidRPr="004543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біологічних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систем та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цілому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зокрема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адаптаційного</w:t>
      </w:r>
      <w:proofErr w:type="spellEnd"/>
      <w:r w:rsidRPr="004543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потенціалу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опорно-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рухового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апарату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23FC8C4" w14:textId="77777777" w:rsidR="00151749" w:rsidRPr="007461DA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активного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лікування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певних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, а також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визначений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нього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 умов</w:t>
      </w:r>
      <w:proofErr w:type="gram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відсутності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протипоказань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доцільно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призначати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ЛФК особам в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лікувально-профілактичному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закладі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стаціонарі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поліклініці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санаторії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прискорити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терміни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одужання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попередити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розвиток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ускладнень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, а також буде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сприяти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запобіганню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інвалідності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6405B2BC" w14:textId="268FFD2C" w:rsidR="00151749" w:rsidRPr="007461DA" w:rsidRDefault="00151749" w:rsidP="00151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Коли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виникають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складності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вирішенні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питань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щодо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комплектації</w:t>
      </w:r>
      <w:proofErr w:type="spellEnd"/>
      <w:r w:rsidRPr="004543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групи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/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допуску до занять з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тим</w:t>
      </w:r>
      <w:proofErr w:type="spellEnd"/>
      <w:r w:rsidRPr="004543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іншим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видом спорту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проводяться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консультації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базі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лікарсько-фізкультурних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диспансерів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центрів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спортивної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медицини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ЛФК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4543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кабінетів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лікарського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контролю.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також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відзначити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разі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виявлення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загрозливих</w:t>
      </w:r>
      <w:proofErr w:type="spellEnd"/>
      <w:r w:rsidRPr="004543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видів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насамперед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з боку систем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кровообігу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дихання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ще</w:t>
      </w:r>
      <w:proofErr w:type="spellEnd"/>
      <w:r w:rsidRPr="004543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стадії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медичних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оглядів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відборі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занять в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секції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4543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а,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тим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більше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певними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видами спорту однозначно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доцільно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рекомендувати</w:t>
      </w:r>
      <w:proofErr w:type="spellEnd"/>
      <w:r w:rsidRPr="004543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лише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оздоровчою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фізичною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культурою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постійним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контролем</w:t>
      </w:r>
      <w:r w:rsidRPr="004543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спеціалістів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У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разі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виявлення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тяжкої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високим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рівнем</w:t>
      </w:r>
      <w:proofErr w:type="spellEnd"/>
      <w:r w:rsidRPr="00C826A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спортивної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майстерності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їм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рекомендувати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ретельне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комплексне</w:t>
      </w:r>
      <w:proofErr w:type="spellEnd"/>
      <w:r w:rsidRPr="00C826A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спортом для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такої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категорії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можуть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бути</w:t>
      </w:r>
      <w:r w:rsidRPr="00C826A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дозволені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умови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спеціального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режиму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ретельного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лікарського</w:t>
      </w:r>
      <w:proofErr w:type="spellEnd"/>
      <w:r w:rsidRPr="00C826A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нагляду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виключення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перенавантажень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r w:rsidR="00C826A1" w:rsidRPr="00C826A1">
        <w:rPr>
          <w:rFonts w:ascii="Times New Roman" w:eastAsia="TimesNewRoman" w:hAnsi="Times New Roman" w:cs="Times New Roman"/>
          <w:color w:val="000000"/>
          <w:sz w:val="28"/>
          <w:szCs w:val="28"/>
        </w:rPr>
        <w:t>з</w:t>
      </w:r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обмежен</w:t>
      </w:r>
      <w:r w:rsidR="00C826A1" w:rsidRPr="00C826A1">
        <w:rPr>
          <w:rFonts w:ascii="Times New Roman" w:eastAsia="TimesNewRoman" w:hAnsi="Times New Roman" w:cs="Times New Roman"/>
          <w:color w:val="000000"/>
          <w:sz w:val="28"/>
          <w:szCs w:val="28"/>
        </w:rPr>
        <w:t>ням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участі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змаганнях</w:t>
      </w:r>
      <w:proofErr w:type="spellEnd"/>
      <w:r w:rsidRPr="007461DA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9A6C498" w14:textId="77777777" w:rsidR="00151749" w:rsidRDefault="00151749" w:rsidP="001517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</w:p>
    <w:p w14:paraId="1DD0D416" w14:textId="77777777" w:rsidR="00151749" w:rsidRPr="007461DA" w:rsidRDefault="00151749" w:rsidP="001517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7461D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Питання</w:t>
      </w:r>
      <w:proofErr w:type="spellEnd"/>
      <w:r w:rsidRPr="007461D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контролю </w:t>
      </w:r>
      <w:proofErr w:type="spellStart"/>
      <w:r w:rsidRPr="007461D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засвоєння</w:t>
      </w:r>
      <w:proofErr w:type="spellEnd"/>
      <w:r w:rsidRPr="007461D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знань</w:t>
      </w:r>
      <w:proofErr w:type="spellEnd"/>
      <w:r w:rsidRPr="007461D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:</w:t>
      </w:r>
    </w:p>
    <w:p w14:paraId="6F6513CD" w14:textId="77777777" w:rsidR="00151749" w:rsidRDefault="00151749" w:rsidP="00151749">
      <w:pPr>
        <w:pStyle w:val="a4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Методи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працездатності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аеробної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продуктивності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13B58813" w14:textId="77777777" w:rsidR="00151749" w:rsidRPr="00FE1314" w:rsidRDefault="00151749" w:rsidP="00151749">
      <w:pPr>
        <w:pStyle w:val="a4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Яким чином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проводити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розподіл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медичні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групи</w:t>
      </w:r>
      <w:proofErr w:type="spellEnd"/>
      <w:r w:rsidRPr="00FE1314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36320A42" w14:textId="77777777" w:rsidR="00151749" w:rsidRPr="001A5CAB" w:rsidRDefault="00151749" w:rsidP="0015174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14:paraId="0C1FA3EA" w14:textId="77777777" w:rsidR="005E0BB6" w:rsidRDefault="005E0BB6"/>
    <w:sectPr w:rsidR="005E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,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Italic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558"/>
    <w:multiLevelType w:val="hybridMultilevel"/>
    <w:tmpl w:val="B1B036FA"/>
    <w:lvl w:ilvl="0" w:tplc="2CEE0706">
      <w:start w:val="1"/>
      <w:numFmt w:val="decimal"/>
      <w:lvlText w:val="%1)"/>
      <w:lvlJc w:val="left"/>
      <w:pPr>
        <w:ind w:left="857" w:hanging="497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D4422"/>
    <w:multiLevelType w:val="hybridMultilevel"/>
    <w:tmpl w:val="6480F638"/>
    <w:lvl w:ilvl="0" w:tplc="215886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F236E"/>
    <w:multiLevelType w:val="hybridMultilevel"/>
    <w:tmpl w:val="FDCE6ED0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8E1CDB"/>
    <w:multiLevelType w:val="hybridMultilevel"/>
    <w:tmpl w:val="F5C643E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75C09"/>
    <w:multiLevelType w:val="hybridMultilevel"/>
    <w:tmpl w:val="2FCE73B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E2A8D"/>
    <w:multiLevelType w:val="hybridMultilevel"/>
    <w:tmpl w:val="AA7A7B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D2D70"/>
    <w:multiLevelType w:val="hybridMultilevel"/>
    <w:tmpl w:val="38F8FD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A3476"/>
    <w:multiLevelType w:val="hybridMultilevel"/>
    <w:tmpl w:val="0402035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78770">
    <w:abstractNumId w:val="1"/>
  </w:num>
  <w:num w:numId="2" w16cid:durableId="232007766">
    <w:abstractNumId w:val="5"/>
  </w:num>
  <w:num w:numId="3" w16cid:durableId="373041473">
    <w:abstractNumId w:val="2"/>
  </w:num>
  <w:num w:numId="4" w16cid:durableId="1757089970">
    <w:abstractNumId w:val="6"/>
  </w:num>
  <w:num w:numId="5" w16cid:durableId="785780006">
    <w:abstractNumId w:val="7"/>
  </w:num>
  <w:num w:numId="6" w16cid:durableId="205063666">
    <w:abstractNumId w:val="3"/>
  </w:num>
  <w:num w:numId="7" w16cid:durableId="1079522702">
    <w:abstractNumId w:val="4"/>
  </w:num>
  <w:num w:numId="8" w16cid:durableId="1064914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49"/>
    <w:rsid w:val="00151749"/>
    <w:rsid w:val="001A3D05"/>
    <w:rsid w:val="00450521"/>
    <w:rsid w:val="004746D3"/>
    <w:rsid w:val="00475D75"/>
    <w:rsid w:val="005E0BB6"/>
    <w:rsid w:val="0064358C"/>
    <w:rsid w:val="00960697"/>
    <w:rsid w:val="00AB730E"/>
    <w:rsid w:val="00BB118B"/>
    <w:rsid w:val="00C3007C"/>
    <w:rsid w:val="00C77892"/>
    <w:rsid w:val="00C826A1"/>
    <w:rsid w:val="00CD679B"/>
    <w:rsid w:val="00D2726F"/>
    <w:rsid w:val="00D3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EA75E"/>
  <w15:chartTrackingRefBased/>
  <w15:docId w15:val="{E737BC1F-A2AA-43CC-86A4-9E71358A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749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74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1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24</Pages>
  <Words>6505</Words>
  <Characters>37079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6</cp:revision>
  <dcterms:created xsi:type="dcterms:W3CDTF">2023-08-08T09:21:00Z</dcterms:created>
  <dcterms:modified xsi:type="dcterms:W3CDTF">2023-11-01T16:53:00Z</dcterms:modified>
</cp:coreProperties>
</file>