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EF55" w14:textId="3C707059" w:rsidR="0096380B" w:rsidRPr="00A23E69" w:rsidRDefault="0096380B" w:rsidP="00AC35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5.</w:t>
      </w:r>
    </w:p>
    <w:p w14:paraId="17C9447B" w14:textId="06257F62" w:rsidR="0096380B" w:rsidRDefault="0096380B" w:rsidP="009638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Тема:</w:t>
      </w:r>
      <w:r w:rsidR="00817D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17D48" w:rsidRPr="00817D4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ФУНКЦІОНАЛЬНІ ПРОБИ З ФІЗИЧНИМ НАВАНТАЖЕННЯМ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1F54E9CB" w14:textId="77777777" w:rsidR="0096380B" w:rsidRDefault="0096380B" w:rsidP="00963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14:paraId="3DB2E571" w14:textId="77777777" w:rsidR="0096380B" w:rsidRPr="00243A73" w:rsidRDefault="0096380B" w:rsidP="0096380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13190701" w14:textId="77777777" w:rsidR="0096380B" w:rsidRPr="00243A73" w:rsidRDefault="0096380B" w:rsidP="0096380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Типи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7AF00A8A" w14:textId="77777777" w:rsidR="0096380B" w:rsidRPr="006D4882" w:rsidRDefault="0096380B" w:rsidP="009638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</w:p>
    <w:p w14:paraId="65D13EA6" w14:textId="77777777" w:rsidR="0096380B" w:rsidRPr="00A07D91" w:rsidRDefault="0096380B" w:rsidP="009638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0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A0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75D6383" w14:textId="77777777" w:rsidR="0096380B" w:rsidRPr="00A07D91" w:rsidRDefault="0096380B" w:rsidP="009638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67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 w:rsidRPr="00A07D91">
        <w:rPr>
          <w:rFonts w:ascii="TimesNewRoman" w:eastAsia="TimesNewRoman" w:hAnsi="TimesNewRoman,Bold" w:cs="TimesNewRoman"/>
          <w:color w:val="000000"/>
          <w:sz w:val="28"/>
          <w:szCs w:val="28"/>
        </w:rPr>
        <w:t xml:space="preserve">.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Абрамов В. В.,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Клапчук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В. В.,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Неханевич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О. Б. [та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.]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спортивна медицина: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підручник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студ.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вищих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мед.навч</w:t>
      </w:r>
      <w:proofErr w:type="spellEnd"/>
      <w:proofErr w:type="gram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; за ред. В. В. Абрамова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О. Л.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Смирнової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Дніпропетровськ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Журфонд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2014. 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456 с.</w:t>
      </w:r>
    </w:p>
    <w:p w14:paraId="44BF6012" w14:textId="77777777" w:rsidR="0096380B" w:rsidRPr="00A07D91" w:rsidRDefault="0096380B" w:rsidP="009638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Апанасенко Г. Л.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зич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ний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озвиток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д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тей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п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ілі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тк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К.: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1985.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80 с.</w:t>
      </w:r>
    </w:p>
    <w:p w14:paraId="7CD57750" w14:textId="77777777" w:rsidR="0096380B" w:rsidRPr="00D251F9" w:rsidRDefault="0096380B" w:rsidP="009638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3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Лутай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М. І.,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Дорогий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А. П.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Захворюваність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смертність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хвороб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// Нова медицина. 2002. № 3.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С. 18–21.</w:t>
      </w:r>
      <w:r w:rsidRPr="00A07D91">
        <w:rPr>
          <w:rFonts w:ascii="Times New Roman" w:eastAsia="TimesNewRoman" w:hAnsi="Times New Roman" w:cs="Times New Roman"/>
          <w:color w:val="FFFFFF"/>
          <w:sz w:val="28"/>
          <w:szCs w:val="28"/>
        </w:rPr>
        <w:t>33</w:t>
      </w:r>
    </w:p>
    <w:p w14:paraId="244F4408" w14:textId="77777777" w:rsidR="0096380B" w:rsidRPr="00A07D91" w:rsidRDefault="0096380B" w:rsidP="009638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4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Романчук О. П.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Лікарсько-педагогічний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оздоровчій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Одеса, 2010.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205 с.</w:t>
      </w:r>
    </w:p>
    <w:p w14:paraId="0FF1A613" w14:textId="77777777" w:rsidR="0096380B" w:rsidRPr="00A07D91" w:rsidRDefault="0096380B" w:rsidP="009638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5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Соколовський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В. С., Романова Н. О.,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Бондарєв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І. І.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Лікарський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зич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ихованні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 Одеса, 2001.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93 с.</w:t>
      </w:r>
    </w:p>
    <w:p w14:paraId="447CDF19" w14:textId="77777777" w:rsidR="0096380B" w:rsidRPr="00975BD5" w:rsidRDefault="0096380B" w:rsidP="009638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6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Шаповалова </w:t>
      </w:r>
      <w:proofErr w:type="gram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В.А.</w:t>
      </w:r>
      <w:proofErr w:type="gram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Спортивна медицина і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К.: Медицина, 2008.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248 с</w:t>
      </w:r>
    </w:p>
    <w:p w14:paraId="23406A6A" w14:textId="77777777" w:rsidR="0096380B" w:rsidRDefault="0096380B"/>
    <w:p w14:paraId="4802AEF5" w14:textId="77777777" w:rsidR="0096380B" w:rsidRPr="003B6C1C" w:rsidRDefault="0096380B" w:rsidP="009638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Функціональні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фізичним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навантаженням</w:t>
      </w:r>
      <w:proofErr w:type="spellEnd"/>
    </w:p>
    <w:p w14:paraId="29FEDB73" w14:textId="77777777" w:rsidR="0096380B" w:rsidRPr="00336B93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потужний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вчасно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виявляти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життєдіяльності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з боку ВНС,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характер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досить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складно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спокою.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тому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переважно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фізичним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навантаженням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поділяють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відновлення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зусилля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p w14:paraId="31359A94" w14:textId="77777777" w:rsidR="0096380B" w:rsidRPr="00182E16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lastRenderedPageBreak/>
        <w:t>Функціональні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відновлення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відрізняє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те,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що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реєстрація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досліджуваних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показників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час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їх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здійснюється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після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припинення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тобто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‒ у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відновлювальному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періоді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Вони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надають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змогу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оцінювати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відображають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швидкість</w:t>
      </w:r>
      <w:proofErr w:type="spellEnd"/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відновлювальних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потребують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складної</w:t>
      </w:r>
      <w:proofErr w:type="spellEnd"/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апаратури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сама процедура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відзначається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простотою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доступністю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336B9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Такі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передбачають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виконання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стандартного</w:t>
      </w:r>
      <w:r w:rsidRPr="00182E1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 w:rsidRPr="00182E1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14:paraId="7077E466" w14:textId="77777777" w:rsidR="0096380B" w:rsidRPr="00336B93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зусилля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навантажувальні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тести)</w:t>
      </w:r>
      <w:r w:rsidRPr="00182E1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передбачають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реєстрацію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показників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безпосередньо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Pr="00182E1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виконання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допомогою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спеціальної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діагностичної</w:t>
      </w:r>
      <w:proofErr w:type="spellEnd"/>
      <w:r w:rsidRPr="00182E1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апаратури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Вони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отримувати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оцінку</w:t>
      </w:r>
      <w:proofErr w:type="spellEnd"/>
      <w:r w:rsidRPr="00590B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При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їх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проведенні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використовується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дозоване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м`язове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яке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добирається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індивідуально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для кожного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обстежуваного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урахуванням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віку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статі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,</w:t>
      </w:r>
      <w:r w:rsidRPr="00182E1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стану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функціональних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можливостей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зусилля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серйозна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процедура, яка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досить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 Тому вони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показань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протипоказань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дозованості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персоналу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умов.</w:t>
      </w:r>
    </w:p>
    <w:p w14:paraId="42820594" w14:textId="77777777" w:rsidR="0096380B" w:rsidRPr="0014501F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стандартного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недостатньо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Мартіне-Кушелевського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(20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30 с), а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спортсменів-розрядників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комбіновану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Летунова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B0CC7B4" w14:textId="1592BC58" w:rsidR="0096380B" w:rsidRPr="0014501F" w:rsidRDefault="0096380B" w:rsidP="00DE39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8E612C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Проба </w:t>
      </w:r>
      <w:proofErr w:type="spellStart"/>
      <w:r w:rsidRPr="008E612C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Мартіне-Кушелевського</w:t>
      </w:r>
      <w:proofErr w:type="spellEnd"/>
      <w:r w:rsidRPr="008E612C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(20 </w:t>
      </w:r>
      <w:proofErr w:type="spellStart"/>
      <w:r w:rsidRPr="008E612C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присідань</w:t>
      </w:r>
      <w:proofErr w:type="spellEnd"/>
      <w:r w:rsidRPr="008E612C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за 30 с).</w:t>
      </w:r>
      <w:r w:rsidRPr="0014501F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3-5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манжету тонометра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ліве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плече і через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1-1,5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(час,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для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зникнення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рефлексу,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з’явитися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манжети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пульс, 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="00DE39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Частоту пульсу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підраховують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10 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часу до тих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пір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буде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-три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однакові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цифри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підряд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12-12-12).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Інколи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аритмії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</w:t>
      </w:r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пульс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неритмічним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 10,11,12,11,12,11),</w:t>
      </w:r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вдається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зафіксувати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підряд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-три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однакові</w:t>
      </w:r>
      <w:proofErr w:type="spellEnd"/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цифри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В таких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просять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="00DE39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звичайного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на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10-20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 і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підраховують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частоту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пульсу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явище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реєструється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знімаючи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манжети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обстежуваному</w:t>
      </w:r>
      <w:proofErr w:type="spellEnd"/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пропонують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глибоких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Коректність</w:t>
      </w:r>
      <w:proofErr w:type="spellEnd"/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даної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глибоких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темпі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кожному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витягувати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вперед, а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вставанні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руки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опускати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стежити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</w:t>
      </w:r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ознаками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на</w:t>
      </w:r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разі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припиняють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закінченні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сідає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лікар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включає</w:t>
      </w:r>
      <w:proofErr w:type="spellEnd"/>
      <w:r w:rsidRPr="008E612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секундомір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проводить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підрахунок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пульсу за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перші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10 с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першої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відновлюваного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періоду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далі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протягом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останніх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50 с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першої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вимірює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артеріальний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тиск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. З початку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другої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лікар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знову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підраховує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частоту пульсу за 10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секундні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інтервали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часу до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тр</w:t>
      </w:r>
      <w:r w:rsidR="002D656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иразов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ого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повторення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значення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вихідної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частоти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пульсу.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Проте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навіть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якщо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пульс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відновився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вже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другій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відновлювального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періоду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рекомендується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не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припиняти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його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реєстраці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ї</w:t>
      </w:r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а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продовжувати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рахувати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пульс до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кінця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третьої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. По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закінченні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3-ої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хвилини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вимірюють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знову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рівень</w:t>
      </w:r>
      <w:proofErr w:type="spellEnd"/>
      <w:r w:rsidRPr="00336B9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АТ.</w:t>
      </w:r>
      <w:r w:rsidRPr="00590B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Частоту пульсу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рахувати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кінця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3-ої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590B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існує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ймовірність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званої</w:t>
      </w:r>
      <w:proofErr w:type="spellEnd"/>
      <w:r w:rsidRPr="00590B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фази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пульсу»,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величини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нижче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590B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2-3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ударів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10 с.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Таке</w:t>
      </w:r>
      <w:proofErr w:type="spellEnd"/>
      <w:r w:rsidRPr="00590B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пульсу, як правило,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триває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трьох</w:t>
      </w:r>
      <w:proofErr w:type="spellEnd"/>
      <w:r w:rsidRPr="00590B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10-секундних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відрізків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частота пульсу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знову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збільшується</w:t>
      </w:r>
      <w:proofErr w:type="spellEnd"/>
      <w:r w:rsidRPr="00590B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поступово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повертається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нормативних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 «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фазу»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пульсу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пов’язують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дисбалансом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симпатичного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парасимпатичного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ВНС,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послідовності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фазу»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за результатами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даної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</w:t>
      </w:r>
      <w:r w:rsidR="002E306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є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струють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2E306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лабільною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системою,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нейроциркуляторній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дистонії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перетренованості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нервово-психічних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негативна фаза пульсу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утримується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така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незадовільна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456372F" w14:textId="77777777" w:rsidR="0096380B" w:rsidRPr="0014501F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 до, так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F067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характер</w:t>
      </w:r>
      <w:r w:rsidRPr="00F067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пульсу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задовільність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незадовільність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наповнення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ритмічний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F067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аритмічний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а також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аускультацію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стоячи, а за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лежачи</w:t>
      </w:r>
      <w:proofErr w:type="spellEnd"/>
      <w:r w:rsidRPr="00F0672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вислуховування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вухом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фонендоскопом </w:t>
      </w:r>
      <w:proofErr w:type="spellStart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звукових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явищ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виникають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2D7571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іншого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пов’язано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змінами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гемодинаміки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відбуваються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м’язової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86095CB" w14:textId="2F69DA29" w:rsidR="0096380B" w:rsidRPr="0014501F" w:rsidRDefault="0096380B" w:rsidP="00DE39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гемодинаміки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полягають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тому,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потребують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суттєвого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значній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мірі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працюючих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достатньою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кількістю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кисню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видалення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тканин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вуглекислоти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продуктів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тканинного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метаболізму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тому з початком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м’язової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перебудови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нейрогуморальних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 з одного боку, до</w:t>
      </w:r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активізації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симпатоадреналової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зумовлює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ударного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обсягів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 системного</w:t>
      </w:r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циркулюючої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.), а з другого</w:t>
      </w:r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боку –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викликає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тонусу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периферичного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русла,</w:t>
      </w:r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раціональний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перерозподіл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регіонального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кровотоку</w:t>
      </w:r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активними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неактивними</w:t>
      </w:r>
      <w:proofErr w:type="spellEnd"/>
      <w:r w:rsidRPr="00B52C0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фізичному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навантаженні</w:t>
      </w:r>
      <w:proofErr w:type="spellEnd"/>
      <w:r w:rsidRPr="00B52C0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м’язами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іншими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тканинами і органами.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знижується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тонус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периферичних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розширення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гемокапілярів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тканинах –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скелетних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м’язах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міокарді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DE39BB" w:rsidRPr="00DE39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шкірі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легенях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Завдяки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вищезазначених</w:t>
      </w:r>
      <w:proofErr w:type="spellEnd"/>
      <w:r w:rsidRPr="002D656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тканинах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Так,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скелетних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м’язах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</w:t>
      </w:r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м’язової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15-20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разів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функціонуючих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гемокапілярів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зростати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50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разів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міокарді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5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разів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шкірі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адекватної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тепловіддачі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3-4 рази, а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легенях</w:t>
      </w:r>
      <w:proofErr w:type="spellEnd"/>
      <w:r w:rsidRPr="00B52C0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зростає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майже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2-3 рази.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дещо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підвищується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тонус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периферичних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звуження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дрібних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неактивних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органах –</w:t>
      </w:r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печінці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нирках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тканинах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зменшується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починає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здійснюватися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шунтуючим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судинам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минаючи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капілярне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русло).</w:t>
      </w:r>
    </w:p>
    <w:p w14:paraId="7C5F3E45" w14:textId="77777777" w:rsidR="0096380B" w:rsidRPr="0014501F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спокою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органах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50% </w:t>
      </w:r>
      <w:proofErr w:type="spellStart"/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хвилинного</w:t>
      </w:r>
      <w:proofErr w:type="spellEnd"/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обсягу</w:t>
      </w:r>
      <w:proofErr w:type="spellEnd"/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серця</w:t>
      </w:r>
      <w:proofErr w:type="spellEnd"/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(ХОС),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то при максимальному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знижуватися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3-4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ХОС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CE4DFBD" w14:textId="77777777" w:rsidR="0096380B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Адаптація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тренованих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осіб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більшою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мірою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відбувається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рахунок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збільшення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ударного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об’єму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меншою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за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рахунок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підвищення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частоти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серцевих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скорочень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а у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нетренованих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чи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недостатньо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тренованих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осіб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адаптація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досягається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переважно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рахунок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збільшення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ЧСС і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меншою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мірою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за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рахунок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збільшення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ударного </w:t>
      </w:r>
      <w:proofErr w:type="spellStart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об’єму</w:t>
      </w:r>
      <w:proofErr w:type="spellEnd"/>
      <w:r w:rsidRPr="00B52C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p w14:paraId="44E91AF9" w14:textId="77777777" w:rsidR="00DE39BB" w:rsidRDefault="00DE39B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</w:p>
    <w:p w14:paraId="5BAF20AD" w14:textId="77777777" w:rsidR="00AC35AF" w:rsidRPr="00B52C05" w:rsidRDefault="00AC35AF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</w:p>
    <w:p w14:paraId="23684D79" w14:textId="77777777" w:rsidR="0096380B" w:rsidRPr="003B6C1C" w:rsidRDefault="0096380B" w:rsidP="009638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lastRenderedPageBreak/>
        <w:t xml:space="preserve">Типи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реакції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серцево-судинної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системи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фізичне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</w:t>
      </w:r>
      <w:proofErr w:type="spellEnd"/>
    </w:p>
    <w:p w14:paraId="4C3BAC82" w14:textId="1CC9EA04" w:rsidR="0096380B" w:rsidRPr="0014501F" w:rsidRDefault="0096380B" w:rsidP="007E3D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0" w:name="_Hlk140743117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характером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згідно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схеми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С.П.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Летунова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розрізняють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B249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249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нормотензивний</w:t>
      </w:r>
      <w:proofErr w:type="spellEnd"/>
      <w:r w:rsidRPr="00B249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B249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гіпотензивний</w:t>
      </w:r>
      <w:proofErr w:type="spellEnd"/>
      <w:r w:rsidRPr="00B249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B2495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9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гіпертензивний</w:t>
      </w:r>
      <w:proofErr w:type="spellEnd"/>
      <w:r w:rsidRPr="00B249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, д</w:t>
      </w:r>
      <w:r w:rsidR="001E56EE" w:rsidRPr="006C2933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proofErr w:type="spellStart"/>
      <w:r w:rsidRPr="00B249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стензивний</w:t>
      </w:r>
      <w:proofErr w:type="spellEnd"/>
      <w:r w:rsidRPr="00B249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та </w:t>
      </w:r>
      <w:proofErr w:type="spellStart"/>
      <w:r w:rsidRPr="00B249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східчастий</w:t>
      </w:r>
      <w:proofErr w:type="spellEnd"/>
      <w:r w:rsidRPr="0014501F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чотири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вважаються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атиповими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типами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0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будь-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завжди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ретельне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виключення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прихованих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рекомендувати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таким особам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підготовчій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(за умов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протипоказань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7E3D9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групі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щадно-тренувального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щадно-рухового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режиму.</w:t>
      </w:r>
    </w:p>
    <w:p w14:paraId="73A8243A" w14:textId="349F14AD" w:rsidR="0096380B" w:rsidRPr="0014501F" w:rsidRDefault="0096380B" w:rsidP="002F4A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249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Нормотензивний</w:t>
      </w:r>
      <w:proofErr w:type="spellEnd"/>
      <w:r w:rsidRPr="00B249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2495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тип </w:t>
      </w:r>
      <w:proofErr w:type="spellStart"/>
      <w:r w:rsidRPr="00B2495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прискоренням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60-80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(в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6-7 уд. за 10 с),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взагалі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100%;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 на 15-30%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приблизно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20-30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.);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діастолічного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АТ на 10-15% (5-10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.).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і АТ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нормотензивному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2,5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до 3-х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</w:t>
      </w:r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сприятливим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відбулося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об'єму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м'язовому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 так і</w:t>
      </w:r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викиду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підйом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відображає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посилення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систоли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лівого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шлуночка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пульсового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нормальних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межах,</w:t>
      </w:r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збільшенню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об'єму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несуттєвому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зниженню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діастоличного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тонусу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артеріол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створює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кращого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доступу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периферію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відновлювальному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нормотензивного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типу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вказує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регуляторних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всі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ланки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="002E3063" w:rsidRPr="002E306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3063"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="002E3063"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3063"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забезпечують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раціональне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пристосування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до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Функціональний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стан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серцево-судинної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системи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при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цьому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оцінюється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як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добрий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високий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При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нормотензивному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типі</w:t>
      </w:r>
      <w:proofErr w:type="spellEnd"/>
      <w:r w:rsidR="00DE39BB"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реакції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фізичне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особам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дозволяють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заняття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з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фізичної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культури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основній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групі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тренувальному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режимі</w:t>
      </w:r>
      <w:proofErr w:type="spellEnd"/>
      <w:r w:rsidRPr="002F4A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Проте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даному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АТ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повністю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відновлюються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кінця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3-ої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– то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така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лише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умовно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сприятливою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задовільний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пульсу і АТ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нормотензивному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зустрічається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малотренованих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тому</w:t>
      </w:r>
      <w:r w:rsidR="00DE39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основній</w:t>
      </w:r>
      <w:proofErr w:type="spellEnd"/>
      <w:r w:rsidR="00DE39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групі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хоча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їм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дозволяються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них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призначати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дозовано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поступово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починаючи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щадно-тренувального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режиму.</w:t>
      </w:r>
    </w:p>
    <w:p w14:paraId="78F94A1D" w14:textId="6F07B6E4" w:rsidR="0096380B" w:rsidRPr="0014501F" w:rsidRDefault="0096380B" w:rsidP="00DE39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182E16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Г</w:t>
      </w:r>
      <w:r w:rsidRPr="00182E16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</w:rPr>
        <w:t>іпотензивний</w:t>
      </w:r>
      <w:proofErr w:type="spellEnd"/>
      <w:r w:rsidRPr="00182E16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182E16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</w:rPr>
        <w:t>астенічний</w:t>
      </w:r>
      <w:proofErr w:type="spellEnd"/>
      <w:r w:rsidRPr="00182E16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</w:rPr>
        <w:t>)</w:t>
      </w:r>
      <w:r w:rsidRPr="00182E16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182E16">
        <w:rPr>
          <w:rFonts w:ascii="Times New Roman" w:eastAsia="TimesNewRoman" w:hAnsi="Times New Roman" w:cs="Times New Roman"/>
          <w:sz w:val="28"/>
          <w:szCs w:val="28"/>
        </w:rPr>
        <w:t xml:space="preserve">тип </w:t>
      </w:r>
      <w:proofErr w:type="spellStart"/>
      <w:r w:rsidRPr="00182E16">
        <w:rPr>
          <w:rFonts w:ascii="Times New Roman" w:eastAsia="TimesNewRoman" w:hAnsi="Times New Roman" w:cs="Times New Roman"/>
          <w:sz w:val="28"/>
          <w:szCs w:val="28"/>
        </w:rPr>
        <w:t>реакції</w:t>
      </w:r>
      <w:proofErr w:type="spellEnd"/>
      <w:r w:rsidRPr="00182E1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82E16">
        <w:rPr>
          <w:rFonts w:ascii="Times New Roman" w:eastAsia="TimesNewRoman" w:hAnsi="Times New Roman" w:cs="Times New Roman"/>
          <w:sz w:val="28"/>
          <w:szCs w:val="28"/>
        </w:rPr>
        <w:t>характеризується</w:t>
      </w:r>
      <w:proofErr w:type="spellEnd"/>
      <w:r w:rsidRPr="00182E16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 w:rsidRPr="00182E16">
        <w:rPr>
          <w:rFonts w:ascii="Times New Roman" w:eastAsia="TimesNewRoman" w:hAnsi="Times New Roman" w:cs="Times New Roman"/>
          <w:sz w:val="28"/>
          <w:szCs w:val="28"/>
        </w:rPr>
        <w:t>значним</w:t>
      </w:r>
      <w:proofErr w:type="spellEnd"/>
      <w:r w:rsidRPr="00182E1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82E16">
        <w:rPr>
          <w:rFonts w:ascii="Times New Roman" w:eastAsia="TimesNewRoman" w:hAnsi="Times New Roman" w:cs="Times New Roman"/>
          <w:sz w:val="28"/>
          <w:szCs w:val="28"/>
        </w:rPr>
        <w:t>прискоренням</w:t>
      </w:r>
      <w:proofErr w:type="spellEnd"/>
      <w:r w:rsidRPr="00182E16">
        <w:rPr>
          <w:rFonts w:ascii="Times New Roman" w:eastAsia="TimesNewRoman" w:hAnsi="Times New Roman" w:cs="Times New Roman"/>
          <w:sz w:val="28"/>
          <w:szCs w:val="28"/>
        </w:rPr>
        <w:t xml:space="preserve"> пульсу </w:t>
      </w:r>
      <w:proofErr w:type="spellStart"/>
      <w:r w:rsidRPr="00182E16">
        <w:rPr>
          <w:rFonts w:ascii="Times New Roman" w:eastAsia="TimesNewRoman" w:hAnsi="Times New Roman" w:cs="Times New Roman"/>
          <w:sz w:val="28"/>
          <w:szCs w:val="28"/>
        </w:rPr>
        <w:t>більше</w:t>
      </w:r>
      <w:proofErr w:type="spellEnd"/>
      <w:r w:rsidRPr="00182E1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82E16">
        <w:rPr>
          <w:rFonts w:ascii="Times New Roman" w:eastAsia="TimesNewRoman" w:hAnsi="Times New Roman" w:cs="Times New Roman"/>
          <w:sz w:val="28"/>
          <w:szCs w:val="28"/>
        </w:rPr>
        <w:t>ніж</w:t>
      </w:r>
      <w:proofErr w:type="spellEnd"/>
      <w:r w:rsidRPr="00182E16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gramStart"/>
      <w:r w:rsidRPr="00182E16">
        <w:rPr>
          <w:rFonts w:ascii="Times New Roman" w:eastAsia="TimesNewRoman" w:hAnsi="Times New Roman" w:cs="Times New Roman"/>
          <w:sz w:val="28"/>
          <w:szCs w:val="28"/>
        </w:rPr>
        <w:t>100-150</w:t>
      </w:r>
      <w:proofErr w:type="gramEnd"/>
      <w:r w:rsidRPr="00182E16">
        <w:rPr>
          <w:rFonts w:ascii="Times New Roman" w:eastAsia="TimesNewRoman" w:hAnsi="Times New Roman" w:cs="Times New Roman"/>
          <w:sz w:val="28"/>
          <w:szCs w:val="28"/>
        </w:rPr>
        <w:t xml:space="preserve">%; </w:t>
      </w:r>
      <w:proofErr w:type="spellStart"/>
      <w:r w:rsidRPr="00182E16">
        <w:rPr>
          <w:rFonts w:ascii="Times New Roman" w:eastAsia="TimesNewRoman" w:hAnsi="Times New Roman" w:cs="Times New Roman"/>
          <w:sz w:val="28"/>
          <w:szCs w:val="28"/>
        </w:rPr>
        <w:t>слабким</w:t>
      </w:r>
      <w:proofErr w:type="spellEnd"/>
      <w:r w:rsidRPr="00182E16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82E16">
        <w:rPr>
          <w:rFonts w:ascii="Times New Roman" w:eastAsia="TimesNewRoman" w:hAnsi="Times New Roman" w:cs="Times New Roman"/>
          <w:sz w:val="28"/>
          <w:szCs w:val="28"/>
        </w:rPr>
        <w:t>недостатнім</w:t>
      </w:r>
      <w:proofErr w:type="spellEnd"/>
      <w:r w:rsidRPr="00182E1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15%), яке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іноді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змінюється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навіть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знижується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деяким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7166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Відновлюваний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астенічному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подовжується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5-10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гемодинаміки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ПАТ</w:t>
      </w:r>
      <w:r w:rsidR="004A31C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4A31C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пульсовий</w:t>
      </w:r>
      <w:proofErr w:type="spellEnd"/>
      <w:r w:rsidR="004A31C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A31C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артеріальний</w:t>
      </w:r>
      <w:proofErr w:type="spellEnd"/>
      <w:r w:rsidR="004A31C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A31C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тиск</w:t>
      </w:r>
      <w:proofErr w:type="spellEnd"/>
      <w:r w:rsidR="004A31C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змінюється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несуттєво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Даний тип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D857E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D857E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обумовлено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D857E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ударного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різким</w:t>
      </w:r>
      <w:proofErr w:type="spellEnd"/>
      <w:r w:rsidRPr="00D857E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D857E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великими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енерговитратами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є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малоефективною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Гіпотензивний</w:t>
      </w:r>
      <w:proofErr w:type="spellEnd"/>
      <w:r w:rsidRPr="00D857E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віддзеркалює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функціональну</w:t>
      </w:r>
      <w:proofErr w:type="spellEnd"/>
      <w:r w:rsidR="00DE39BB" w:rsidRPr="00DE39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неповноцінність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регулюючих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ССС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нейроімуноендокринних</w:t>
      </w:r>
      <w:proofErr w:type="spellEnd"/>
      <w:r w:rsidRPr="00D857E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Астенічний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ССС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спостерігається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нетренованих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малотренованих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тяжких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інфекційних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міокардитах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Така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гіпотензивного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типу характерна для</w:t>
      </w:r>
      <w:r w:rsidRPr="007D6E4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школярів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відчувають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голод» і для тих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хто</w:t>
      </w:r>
      <w:proofErr w:type="spellEnd"/>
      <w:r w:rsidRPr="007D6E4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страждає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дисфункції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гіпотонічним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типом.</w:t>
      </w:r>
    </w:p>
    <w:p w14:paraId="415ED0EC" w14:textId="16004B95" w:rsidR="0096380B" w:rsidRPr="0014501F" w:rsidRDefault="0096380B" w:rsidP="00DE39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6E4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</w:t>
      </w:r>
      <w:r w:rsidRPr="007D6E4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іпертензивний</w:t>
      </w:r>
      <w:proofErr w:type="spellEnd"/>
      <w:r w:rsidRPr="0014501F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7D6E4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прискоренням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–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7D6E4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100% 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понад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30%) – до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180-200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7D6E4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до 90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F9200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спазму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периферичних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ПАТ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="00DE39BB" w:rsidRPr="002D656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зростати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</w:t>
      </w:r>
      <w:r w:rsidRPr="00182E16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пертензивний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зв`язку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виявляються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неадекватними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відповідь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ССС є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ПАТ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розцінювати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ударного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підґ</w:t>
      </w:r>
      <w:r w:rsidRPr="0014501F">
        <w:rPr>
          <w:rFonts w:ascii="Times New Roman" w:eastAsia="Yu Gothic" w:hAnsi="Times New Roman" w:cs="Times New Roman"/>
          <w:color w:val="000000"/>
          <w:sz w:val="28"/>
          <w:szCs w:val="28"/>
        </w:rPr>
        <w:t>рунтям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гіпертензивної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стає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периферичного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опіру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спазм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артеріол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замість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розширення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відміну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того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місце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нормотензивній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цим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периферичного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опору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пояснюється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вимушено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великим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характерним</w:t>
      </w:r>
      <w:proofErr w:type="spellEnd"/>
      <w:r w:rsidR="004A31C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страждають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атеросклероз,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ессенціальну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гіпертензію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схильних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стресорні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D81BD4E" w14:textId="77777777" w:rsidR="0096380B" w:rsidRPr="0014501F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Гіпертензівний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зустрічатися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Схильність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гіпертинзивного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зумовити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«катастроф»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гіпертонічного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кризу,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інфаркту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інсульту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254855CB" w14:textId="52E069C8" w:rsidR="0096380B" w:rsidRPr="0014501F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1" w:name="_Hlk140753605"/>
      <w:proofErr w:type="spellStart"/>
      <w:r w:rsidRPr="00C5492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Дистензивний</w:t>
      </w:r>
      <w:proofErr w:type="spellEnd"/>
      <w:r w:rsidRPr="00C5492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B6C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3B6C1C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bookmarkEnd w:id="1"/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прискоренням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100%);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істотним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систолічного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понад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170-180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.);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значним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(аж до нуля і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вислуховується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«феномен</w:t>
      </w:r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нескінченного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тону» ‒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таке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явище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триває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 правило,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2-х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дистензивному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такого роду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залиша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єть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зовсім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зрозумілим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Перше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те,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даний тип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тонусу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звідси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назва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підтвердилося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Науковці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схиляються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думки,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ефект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нескінченного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тону»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скоріше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походження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 Справа</w:t>
      </w:r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тому,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тони Короткова,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вислуховуються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вимірюванні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зв'язку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кров’яному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руслі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тече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затиснутій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манжеткою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утворюються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вихори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»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турбулентний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плин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рідини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Як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просвіт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стає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нормальним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кровотік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ньому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нормалізується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тоді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набуває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ламінарного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характеру. Таким чином, феномен «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нескінченного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тону»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нормальним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явищем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 умов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на початку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відновлюваного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набуває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тих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незначного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(20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зберігається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понад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2-х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інтенсивного</w:t>
      </w:r>
      <w:proofErr w:type="spellEnd"/>
      <w:r w:rsidRPr="00C549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 Феномен «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нескінченного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тону»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нормі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зустрічатися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(в пубертатному та п</w:t>
      </w:r>
      <w:r w:rsidR="0018097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е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</w:t>
      </w:r>
      <w:r w:rsidR="0018097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д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пубертатному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періодах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феномен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вислуховуватися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важкої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м'язової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дистензивний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наслідком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перенесених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неврозів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дистензивному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особи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незадовільний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3101B58" w14:textId="290BD762" w:rsidR="0096380B" w:rsidRPr="0014501F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8020BB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Східчастий</w:t>
      </w:r>
      <w:proofErr w:type="spellEnd"/>
      <w:r w:rsidRPr="008020BB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B6C1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3B6C1C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8020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різким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100%)</w:t>
      </w:r>
      <w:r w:rsidRPr="008020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східчастим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АТ. При такому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виміряного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першій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нижчим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2-гу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3-тю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східчастому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до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недосконалість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вона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здатна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адекватно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забезпечувати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перерозподіл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кровотоку,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необхідним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м’язової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Східчастий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8020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атеросклерозі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8020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8020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перенесених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інфекційних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 при</w:t>
      </w:r>
      <w:r w:rsidRPr="008020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низькій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</w:t>
      </w:r>
      <w:r w:rsidR="0018097B" w:rsidRPr="0018097B">
        <w:rPr>
          <w:rFonts w:ascii="Times New Roman" w:eastAsia="TimesNewRoman" w:hAnsi="Times New Roman" w:cs="Times New Roman"/>
          <w:color w:val="000000"/>
          <w:sz w:val="28"/>
          <w:szCs w:val="28"/>
        </w:rPr>
        <w:t>леност</w:t>
      </w:r>
      <w:r w:rsidR="0018097B" w:rsidRPr="00F12E1A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загальній</w:t>
      </w:r>
      <w:proofErr w:type="spellEnd"/>
      <w:r w:rsidRPr="008020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східчастому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типі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незадовільний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BF5ED8F" w14:textId="77777777" w:rsidR="0096380B" w:rsidRPr="0014501F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ССС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поряд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загальноприйнятими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вищевказаними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типами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згідно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докласифікації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С.П.</w:t>
      </w:r>
      <w:proofErr w:type="gram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Летунова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схему Клочкова.</w:t>
      </w:r>
    </w:p>
    <w:p w14:paraId="61DEB33C" w14:textId="3139A5B0" w:rsidR="00AC35AF" w:rsidRDefault="0096380B" w:rsidP="00DE39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схемою Клочкова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розрізняють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 типи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рахування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перший,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другий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третій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четвертий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C35A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наведена схема Клочкова, де знаком «+»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позначається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пульсового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(ПТ), знаком «-» –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, а знаком «0»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цих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A8E2E31" w14:textId="10171DCB" w:rsidR="0096380B" w:rsidRDefault="0096380B" w:rsidP="00DE39BB">
      <w:pPr>
        <w:spacing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C35A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4B8ED7AE" w14:textId="77777777" w:rsidR="0096380B" w:rsidRPr="00590B84" w:rsidRDefault="0096380B" w:rsidP="00DE39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47071146"/>
      <w:r w:rsidRPr="00145DC5">
        <w:rPr>
          <w:rFonts w:ascii="Times New Roman" w:eastAsia="TimesNewRoman" w:hAnsi="Times New Roman" w:cs="Times New Roman"/>
          <w:sz w:val="28"/>
          <w:szCs w:val="28"/>
        </w:rPr>
        <w:t xml:space="preserve">Типи </w:t>
      </w:r>
      <w:proofErr w:type="spellStart"/>
      <w:r w:rsidRPr="00145DC5">
        <w:rPr>
          <w:rFonts w:ascii="Times New Roman" w:eastAsia="TimesNewRoman" w:hAnsi="Times New Roman" w:cs="Times New Roman"/>
          <w:sz w:val="28"/>
          <w:szCs w:val="28"/>
        </w:rPr>
        <w:t>реакції</w:t>
      </w:r>
      <w:proofErr w:type="spellEnd"/>
      <w:r w:rsidRPr="00145DC5">
        <w:rPr>
          <w:rFonts w:ascii="Times New Roman" w:eastAsia="TimesNewRoman" w:hAnsi="Times New Roman" w:cs="Times New Roman"/>
          <w:sz w:val="28"/>
          <w:szCs w:val="28"/>
        </w:rPr>
        <w:t xml:space="preserve"> ССС </w:t>
      </w:r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145DC5">
        <w:rPr>
          <w:rFonts w:ascii="Times New Roman" w:eastAsia="TimesNewRoman" w:hAnsi="Times New Roman" w:cs="Times New Roman"/>
          <w:sz w:val="28"/>
          <w:szCs w:val="28"/>
        </w:rPr>
        <w:t>фізичне</w:t>
      </w:r>
      <w:proofErr w:type="spellEnd"/>
      <w:r w:rsidRPr="00145DC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5DC5">
        <w:rPr>
          <w:rFonts w:ascii="Times New Roman" w:eastAsia="TimesNewRoman" w:hAnsi="Times New Roman" w:cs="Times New Roman"/>
          <w:sz w:val="28"/>
          <w:szCs w:val="28"/>
        </w:rPr>
        <w:t>навантаження</w:t>
      </w:r>
      <w:proofErr w:type="spellEnd"/>
      <w:r w:rsidRPr="00145DC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5DC5">
        <w:rPr>
          <w:rFonts w:ascii="Times New Roman" w:eastAsia="TimesNewRoman" w:hAnsi="Times New Roman" w:cs="Times New Roman"/>
          <w:sz w:val="28"/>
          <w:szCs w:val="28"/>
        </w:rPr>
        <w:t>згідно</w:t>
      </w:r>
      <w:proofErr w:type="spellEnd"/>
      <w:r w:rsidRPr="00145DC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5DC5">
        <w:rPr>
          <w:rFonts w:ascii="Times New Roman" w:eastAsia="TimesNewRoman" w:hAnsi="Times New Roman" w:cs="Times New Roman"/>
          <w:sz w:val="28"/>
          <w:szCs w:val="28"/>
        </w:rPr>
        <w:t>схеми</w:t>
      </w:r>
      <w:proofErr w:type="spellEnd"/>
      <w:r w:rsidRPr="00145DC5">
        <w:rPr>
          <w:rFonts w:ascii="Times New Roman" w:eastAsia="TimesNewRoman" w:hAnsi="Times New Roman" w:cs="Times New Roman"/>
          <w:sz w:val="28"/>
          <w:szCs w:val="28"/>
        </w:rPr>
        <w:t xml:space="preserve"> Клочкова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8"/>
        <w:gridCol w:w="1514"/>
        <w:gridCol w:w="1773"/>
        <w:gridCol w:w="1548"/>
        <w:gridCol w:w="1542"/>
      </w:tblGrid>
      <w:tr w:rsidR="0096380B" w:rsidRPr="00323A29" w14:paraId="529D269D" w14:textId="77777777" w:rsidTr="006A7FB6">
        <w:tc>
          <w:tcPr>
            <w:tcW w:w="3111" w:type="dxa"/>
            <w:vMerge w:val="restart"/>
          </w:tcPr>
          <w:p w14:paraId="41F50BCC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Показники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артеріального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тиску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після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навантаження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порівнянні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вихідним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рівнем</w:t>
            </w:r>
            <w:proofErr w:type="spellEnd"/>
          </w:p>
        </w:tc>
        <w:tc>
          <w:tcPr>
            <w:tcW w:w="6234" w:type="dxa"/>
            <w:gridSpan w:val="4"/>
          </w:tcPr>
          <w:p w14:paraId="70D265ED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 xml:space="preserve">Типи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реакції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фізичне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навантаження</w:t>
            </w:r>
            <w:proofErr w:type="spellEnd"/>
          </w:p>
        </w:tc>
      </w:tr>
      <w:tr w:rsidR="0096380B" w:rsidRPr="00323A29" w14:paraId="189891CE" w14:textId="77777777" w:rsidTr="006A7FB6">
        <w:tc>
          <w:tcPr>
            <w:tcW w:w="3111" w:type="dxa"/>
            <w:vMerge/>
          </w:tcPr>
          <w:p w14:paraId="71DF3611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B2A0CA2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14:paraId="37337067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</w:tcPr>
          <w:p w14:paraId="4B6BF92F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53" w:type="dxa"/>
          </w:tcPr>
          <w:p w14:paraId="08434AC8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96380B" w:rsidRPr="00323A29" w14:paraId="04D75123" w14:textId="77777777" w:rsidTr="006A7FB6">
        <w:tc>
          <w:tcPr>
            <w:tcW w:w="3111" w:type="dxa"/>
          </w:tcPr>
          <w:p w14:paraId="301E59B0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Систолічний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тиск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АТс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62" w:type="dxa"/>
          </w:tcPr>
          <w:p w14:paraId="17638437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559" w:type="dxa"/>
          </w:tcPr>
          <w:p w14:paraId="5FD3EC33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560" w:type="dxa"/>
          </w:tcPr>
          <w:p w14:paraId="60193F89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53" w:type="dxa"/>
          </w:tcPr>
          <w:p w14:paraId="43A750E6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6380B" w:rsidRPr="00323A29" w14:paraId="64DFB9AA" w14:textId="77777777" w:rsidTr="006A7FB6">
        <w:tc>
          <w:tcPr>
            <w:tcW w:w="3111" w:type="dxa"/>
          </w:tcPr>
          <w:p w14:paraId="53506D6D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Діастолічний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тиск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АТд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62" w:type="dxa"/>
          </w:tcPr>
          <w:p w14:paraId="4F82D3E6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59" w:type="dxa"/>
          </w:tcPr>
          <w:p w14:paraId="69080E92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 xml:space="preserve">+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0</w:t>
            </w:r>
          </w:p>
        </w:tc>
        <w:tc>
          <w:tcPr>
            <w:tcW w:w="1560" w:type="dxa"/>
          </w:tcPr>
          <w:p w14:paraId="7523E614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53" w:type="dxa"/>
          </w:tcPr>
          <w:p w14:paraId="7D3E94CF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96380B" w14:paraId="7D618194" w14:textId="77777777" w:rsidTr="006A7FB6">
        <w:tc>
          <w:tcPr>
            <w:tcW w:w="3111" w:type="dxa"/>
            <w:vMerge w:val="restart"/>
          </w:tcPr>
          <w:p w14:paraId="75E2A152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253BC94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Оцінка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реактивних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змін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пульсовим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тиском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 xml:space="preserve"> (ПТ)</w:t>
            </w:r>
          </w:p>
        </w:tc>
        <w:tc>
          <w:tcPr>
            <w:tcW w:w="1562" w:type="dxa"/>
          </w:tcPr>
          <w:p w14:paraId="317641EC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CBD181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(ПТ) +</w:t>
            </w:r>
          </w:p>
          <w:p w14:paraId="46310260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«добра»</w:t>
            </w:r>
          </w:p>
        </w:tc>
        <w:tc>
          <w:tcPr>
            <w:tcW w:w="1560" w:type="dxa"/>
          </w:tcPr>
          <w:p w14:paraId="613505C6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4A2B6228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80B" w:rsidRPr="00323A29" w14:paraId="1199D34A" w14:textId="77777777" w:rsidTr="006A7FB6">
        <w:tc>
          <w:tcPr>
            <w:tcW w:w="3111" w:type="dxa"/>
            <w:vMerge/>
          </w:tcPr>
          <w:p w14:paraId="20B4FDEF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5A7E7458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відмінна</w:t>
            </w:r>
            <w:proofErr w:type="spellEnd"/>
          </w:p>
        </w:tc>
        <w:tc>
          <w:tcPr>
            <w:tcW w:w="1559" w:type="dxa"/>
          </w:tcPr>
          <w:p w14:paraId="4042287D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gramStart"/>
            <w:r w:rsidRPr="00645276">
              <w:rPr>
                <w:rFonts w:ascii="Times New Roman" w:hAnsi="Times New Roman" w:cs="Times New Roman"/>
                <w:lang w:val="ru-RU"/>
              </w:rPr>
              <w:t>ПТ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 w:rsidRPr="00645276">
              <w:rPr>
                <w:rFonts w:ascii="Times New Roman" w:hAnsi="Times New Roman" w:cs="Times New Roman"/>
                <w:lang w:val="ru-RU"/>
              </w:rPr>
              <w:t xml:space="preserve">  0</w:t>
            </w:r>
            <w:proofErr w:type="gramEnd"/>
          </w:p>
          <w:p w14:paraId="4518190E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«допустима»</w:t>
            </w:r>
          </w:p>
        </w:tc>
        <w:tc>
          <w:tcPr>
            <w:tcW w:w="1560" w:type="dxa"/>
          </w:tcPr>
          <w:p w14:paraId="4885F92A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незадовільна</w:t>
            </w:r>
            <w:proofErr w:type="spellEnd"/>
          </w:p>
        </w:tc>
        <w:tc>
          <w:tcPr>
            <w:tcW w:w="1553" w:type="dxa"/>
          </w:tcPr>
          <w:p w14:paraId="56B49A3F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абсолютно</w:t>
            </w:r>
          </w:p>
          <w:p w14:paraId="698E427E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незадовільна</w:t>
            </w:r>
            <w:proofErr w:type="spellEnd"/>
          </w:p>
        </w:tc>
      </w:tr>
      <w:tr w:rsidR="0096380B" w14:paraId="4A5703D5" w14:textId="77777777" w:rsidTr="006A7FB6">
        <w:tc>
          <w:tcPr>
            <w:tcW w:w="3111" w:type="dxa"/>
            <w:vMerge/>
          </w:tcPr>
          <w:p w14:paraId="554B667E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48A7DAD9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837FF6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gramStart"/>
            <w:r w:rsidRPr="00645276">
              <w:rPr>
                <w:rFonts w:ascii="Times New Roman" w:hAnsi="Times New Roman" w:cs="Times New Roman"/>
                <w:lang w:val="ru-RU"/>
              </w:rPr>
              <w:t>ПТ</w:t>
            </w:r>
            <w:r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645276">
              <w:rPr>
                <w:rFonts w:ascii="Times New Roman" w:hAnsi="Times New Roman" w:cs="Times New Roman"/>
                <w:lang w:val="ru-RU"/>
              </w:rPr>
              <w:t xml:space="preserve"> –</w:t>
            </w:r>
            <w:proofErr w:type="gramEnd"/>
          </w:p>
          <w:p w14:paraId="51D0E4FF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276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645276">
              <w:rPr>
                <w:rFonts w:ascii="Times New Roman" w:hAnsi="Times New Roman" w:cs="Times New Roman"/>
                <w:lang w:val="ru-RU"/>
              </w:rPr>
              <w:t>неприпустима</w:t>
            </w:r>
            <w:proofErr w:type="spellEnd"/>
            <w:r w:rsidRPr="006452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60" w:type="dxa"/>
          </w:tcPr>
          <w:p w14:paraId="55EDE24D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220F91BF" w14:textId="77777777" w:rsidR="0096380B" w:rsidRPr="00645276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073AEC1B" w14:textId="77777777" w:rsidR="0096380B" w:rsidRDefault="0096380B" w:rsidP="009638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808698" w14:textId="77777777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Слід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відзначити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контингентів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завжди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зустрічаються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наведені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ССС в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класичному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Існують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перехідні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варіанти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нормотензивним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типами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вибіркове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змінення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ССС. 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вирішальними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факторами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користь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констатації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типів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реактивності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виступають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неузгодженість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і ПАТ,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надмірність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типу.</w:t>
      </w:r>
    </w:p>
    <w:p w14:paraId="05A8D000" w14:textId="77777777" w:rsidR="00E46537" w:rsidRDefault="00E46537" w:rsidP="00963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4ED02E7" w14:textId="7086FD1A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</w:pPr>
      <w:r w:rsidRPr="0064527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Проба </w:t>
      </w:r>
      <w:proofErr w:type="spellStart"/>
      <w:r w:rsidRPr="0064527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Мартіне-Кушелевського</w:t>
      </w:r>
      <w:proofErr w:type="spellEnd"/>
      <w:r w:rsidRPr="0064527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.</w:t>
      </w:r>
    </w:p>
    <w:p w14:paraId="4395484F" w14:textId="77777777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Можливість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оцінити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якість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адаптації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серцево-судинної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системи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індивіда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фізичне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при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виконанні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функціональних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проб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надає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розрахунок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показника</w:t>
      </w:r>
      <w:proofErr w:type="spellEnd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якості</w:t>
      </w:r>
      <w:proofErr w:type="spellEnd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реакції</w:t>
      </w:r>
      <w:proofErr w:type="spellEnd"/>
      <w:r w:rsidRPr="003F380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(ПЯР)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наступною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формулою:</w:t>
      </w:r>
    </w:p>
    <w:p w14:paraId="5103EA38" w14:textId="77777777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4527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ПЯР (за </w:t>
      </w:r>
      <w:proofErr w:type="spellStart"/>
      <w:r w:rsidRPr="0064527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Кушелевським</w:t>
      </w:r>
      <w:proofErr w:type="spellEnd"/>
      <w:r w:rsidRPr="0064527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 =</w:t>
      </w:r>
      <w:r w:rsidRPr="0064527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(РТ</w:t>
      </w:r>
      <w:r w:rsidRPr="00645276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  <w:lang w:val="ru-RU"/>
        </w:rPr>
        <w:t>2</w:t>
      </w:r>
      <w:r w:rsidRPr="0064527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- РТ</w:t>
      </w:r>
      <w:r w:rsidRPr="00645276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  <w:lang w:val="ru-RU"/>
        </w:rPr>
        <w:t>1</w:t>
      </w:r>
      <w:proofErr w:type="gramStart"/>
      <w:r w:rsidRPr="0064527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) :</w:t>
      </w:r>
      <w:proofErr w:type="gramEnd"/>
      <w:r w:rsidRPr="0064527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(Р</w:t>
      </w:r>
      <w:r w:rsidRPr="00645276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  <w:lang w:val="ru-RU"/>
        </w:rPr>
        <w:t>2</w:t>
      </w:r>
      <w:r w:rsidRPr="0064527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- Р</w:t>
      </w:r>
      <w:r w:rsidRPr="00645276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  <w:lang w:val="ru-RU"/>
        </w:rPr>
        <w:t>1</w:t>
      </w:r>
      <w:r w:rsidRPr="0064527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) ум. од.</w:t>
      </w:r>
    </w:p>
    <w:p w14:paraId="1E3D5949" w14:textId="77777777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де: 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РТ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1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пульсовий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РТ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2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пульсовий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1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пульс до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2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пульс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297116C" w14:textId="182B060A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Інтерпретація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E39B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ПЯР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0663F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особи: </w:t>
      </w:r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0,1-0,2 – </w:t>
      </w:r>
      <w:proofErr w:type="spellStart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нераціональна</w:t>
      </w:r>
      <w:proofErr w:type="spellEnd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реакція</w:t>
      </w:r>
      <w:proofErr w:type="spellEnd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0,3-0,4 – </w:t>
      </w:r>
      <w:proofErr w:type="spellStart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задовільна</w:t>
      </w:r>
      <w:proofErr w:type="spellEnd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реакція</w:t>
      </w:r>
      <w:proofErr w:type="spellEnd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0,5-1,0 – добра </w:t>
      </w:r>
      <w:proofErr w:type="spellStart"/>
      <w:proofErr w:type="gramStart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реакція</w:t>
      </w:r>
      <w:proofErr w:type="spellEnd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;</w:t>
      </w:r>
      <w:r w:rsidR="00DE39BB"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&gt;</w:t>
      </w:r>
      <w:proofErr w:type="gramEnd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1,0 – </w:t>
      </w:r>
      <w:proofErr w:type="spellStart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нераціональна</w:t>
      </w:r>
      <w:proofErr w:type="spellEnd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реакція</w:t>
      </w:r>
      <w:proofErr w:type="spellEnd"/>
      <w:r w:rsidRPr="00F001B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p w14:paraId="68843625" w14:textId="77777777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Пробу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Мартіне-Кушелевського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можна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використовувати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для</w:t>
      </w:r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оцінки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функціональних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можливостей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осіб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різних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вікових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категорій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залежності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стану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орієнтовану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корекцію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стандартного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та/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темпу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для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 до 40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прояву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рекомендувати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с; особам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40 до 50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15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22 с;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50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старше – 10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15 с.</w:t>
      </w:r>
    </w:p>
    <w:p w14:paraId="331E2872" w14:textId="60663C01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Особи з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наявністю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повільному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темпі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стілець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Крім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того, пробу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Мартіне-Кушелевського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діагностичною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метою – для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причини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прискореного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спокою.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особи, то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прискорення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скоріш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все,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зумовлено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 у особи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був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лабільний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нестабільний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хвилеподібно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негативна фаза пульсу,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тахікардія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спокою,</w:t>
      </w:r>
      <w:r w:rsidRPr="003F38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зумовлені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дисбалансу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3F38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симпатичним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парасимпатичним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відділами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3F38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 до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була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стабільно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вищою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норми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16, 16, 16), 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функціональної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було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особи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нормотензивний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пульс</w:t>
      </w:r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відновився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цифр до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кінця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3-ї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то є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вірогідність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передбачити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прискорена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бути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зумовлена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гіперфункцією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щитоподібної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залози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Одна</w:t>
      </w:r>
      <w:r w:rsidR="0052769C" w:rsidRPr="0052769C">
        <w:rPr>
          <w:rFonts w:ascii="Times New Roman" w:eastAsia="TimesNewRoman" w:hAnsi="Times New Roman" w:cs="Times New Roman"/>
          <w:color w:val="000000"/>
          <w:sz w:val="28"/>
          <w:szCs w:val="28"/>
        </w:rPr>
        <w:t>к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подальші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цілеспрямовані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сучасних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біотехнологій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надають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підтвердити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прогнозування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70272AF" w14:textId="77777777" w:rsidR="0096380B" w:rsidRDefault="0096380B" w:rsidP="00963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4E26B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Комбінована</w:t>
      </w:r>
      <w:proofErr w:type="spellEnd"/>
      <w:r w:rsidRPr="004E26B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проба </w:t>
      </w:r>
      <w:proofErr w:type="spellStart"/>
      <w:r w:rsidRPr="004E26B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Летунова</w:t>
      </w:r>
      <w:proofErr w:type="spellEnd"/>
      <w:r w:rsidRPr="0064527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.</w:t>
      </w:r>
    </w:p>
    <w:p w14:paraId="23F6722D" w14:textId="77777777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Зазначена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застосовується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лише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розряд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у добре</w:t>
      </w:r>
      <w:proofErr w:type="gram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086F094" w14:textId="4DEE1B13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Комбінована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3-х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послідовних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чергуються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інтервалами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. Перше</w:t>
      </w:r>
      <w:r w:rsidRPr="00481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20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сек. (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</w:t>
      </w:r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розминка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друге –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біг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місці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сек. в максимально</w:t>
      </w:r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швидкому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темпі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високим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підніманням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стегон та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енергійною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роботою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 (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швидкість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третє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біг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місці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підтюпцем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3-х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темпі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180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кроків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1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. (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витривалість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другого – 4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третього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="0052769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r w:rsidR="0052769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частоту пульсу та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 таким же чином, як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Мартіне-Кушелевського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Функціональна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проба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Летунова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дозволяє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оцінити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якість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пристосування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серцево-судинної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системи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особи до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фізичних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навантажень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різноманітного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характеру і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різноманітної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інтенсивності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що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має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важливе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значення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для спорту</w:t>
      </w:r>
      <w:proofErr w:type="gram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високих</w:t>
      </w:r>
      <w:proofErr w:type="spellEnd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2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досягнень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бод</w:t>
      </w:r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білд</w:t>
      </w:r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>и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нгу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3C83B81" w14:textId="77777777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Інтерпретацію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пробою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Летунова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і 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пробі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Мартіне-Кушелевського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адаптативної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високих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можливостях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кожного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етапу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комбінованої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підсилюються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реактивні</w:t>
      </w:r>
      <w:proofErr w:type="spellEnd"/>
      <w:r w:rsidRPr="004E26B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та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АТ, 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діастолічного</w:t>
      </w:r>
      <w:proofErr w:type="spellEnd"/>
      <w:r w:rsidRPr="0036093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АТ за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нормативного типу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знижується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 w:rsidRPr="0036093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всіх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видах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всіх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частота пульсу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слабо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навіть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знижується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переході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одного вида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другого,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вказує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спортсмена.</w:t>
      </w:r>
    </w:p>
    <w:p w14:paraId="50FAE0DF" w14:textId="77777777" w:rsidR="00B31B55" w:rsidRDefault="00B31B55" w:rsidP="00963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39F8042" w14:textId="50CC8443" w:rsidR="0096380B" w:rsidRDefault="0096380B" w:rsidP="00963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</w:pPr>
      <w:r w:rsidRPr="0036093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Тест </w:t>
      </w:r>
      <w:proofErr w:type="spellStart"/>
      <w:r w:rsidRPr="0036093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Руф'є</w:t>
      </w:r>
      <w:proofErr w:type="spellEnd"/>
    </w:p>
    <w:p w14:paraId="190826E4" w14:textId="77777777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икористовується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толерантності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до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в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класичному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варіанті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лише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I-го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розряду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Досліджуваний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термін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тривалістю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знаходиться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10 с у особи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(ЧСС</w:t>
      </w:r>
      <w:r w:rsidRPr="0036093E">
        <w:rPr>
          <w:rFonts w:ascii="Times New Roman" w:eastAsia="TimesNewRoman" w:hAnsi="Times New Roman" w:cs="Times New Roman"/>
          <w:color w:val="000000"/>
          <w:sz w:val="20"/>
          <w:szCs w:val="20"/>
        </w:rPr>
        <w:t>1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пропонують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глибоких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повторно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перших 10 с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(ЧСС</w:t>
      </w:r>
      <w:r w:rsidRPr="0036093E">
        <w:rPr>
          <w:rFonts w:ascii="Times New Roman" w:eastAsia="TimesNewRoman" w:hAnsi="Times New Roman" w:cs="Times New Roman"/>
          <w:color w:val="000000"/>
          <w:sz w:val="20"/>
          <w:szCs w:val="20"/>
        </w:rPr>
        <w:t>2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10 с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першої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(ЧСС</w:t>
      </w:r>
      <w:r w:rsidRPr="0036093E">
        <w:rPr>
          <w:rFonts w:ascii="Times New Roman" w:eastAsia="TimesNewRoman" w:hAnsi="Times New Roman" w:cs="Times New Roman"/>
          <w:color w:val="000000"/>
          <w:sz w:val="20"/>
          <w:szCs w:val="20"/>
        </w:rPr>
        <w:t>3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Всі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при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виконанні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тесту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Руф’є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перераховують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1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хвилину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за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отриманими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результатами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тестування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розраховують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Руф'є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(ІР) за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наступною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формулою:</w:t>
      </w:r>
    </w:p>
    <w:p w14:paraId="68C8B42B" w14:textId="77777777" w:rsidR="0096380B" w:rsidRPr="00AE7BBC" w:rsidRDefault="0096380B" w:rsidP="00963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bookmarkStart w:id="3" w:name="_Hlk147071744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ІР = (ЧСС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1 +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ЧСС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2 +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ЧСС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 xml:space="preserve">3 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-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200</w:t>
      </w:r>
      <w:proofErr w:type="gramStart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 :</w:t>
      </w:r>
      <w:proofErr w:type="gramEnd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10  (</w:t>
      </w:r>
      <w:proofErr w:type="spellStart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ум.од</w:t>
      </w:r>
      <w:proofErr w:type="spellEnd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.)</w:t>
      </w:r>
    </w:p>
    <w:p w14:paraId="76B4D06D" w14:textId="112E158D" w:rsidR="0096380B" w:rsidRPr="00645276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Інтерпретація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тестом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Руф’є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таблицею </w:t>
      </w:r>
      <w:r w:rsidR="001857F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2</w:t>
      </w:r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1ACDAA4" w14:textId="08CF7BA8" w:rsidR="0096380B" w:rsidRPr="00AE7BBC" w:rsidRDefault="0096380B" w:rsidP="0096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1857F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2F4C6E91" w14:textId="77777777" w:rsidR="0096380B" w:rsidRPr="00645276" w:rsidRDefault="0096380B" w:rsidP="00963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резервів</w:t>
      </w:r>
      <w:proofErr w:type="spellEnd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76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6380B" w:rsidRPr="006D3CF4" w14:paraId="220CAC7D" w14:textId="77777777" w:rsidTr="006A7FB6">
        <w:tc>
          <w:tcPr>
            <w:tcW w:w="4672" w:type="dxa"/>
          </w:tcPr>
          <w:p w14:paraId="223A71DE" w14:textId="77777777" w:rsidR="0096380B" w:rsidRPr="006D3CF4" w:rsidRDefault="0096380B" w:rsidP="006A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функціональних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резервів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серця</w:t>
            </w:r>
            <w:proofErr w:type="spellEnd"/>
          </w:p>
        </w:tc>
        <w:tc>
          <w:tcPr>
            <w:tcW w:w="4673" w:type="dxa"/>
          </w:tcPr>
          <w:p w14:paraId="372F062D" w14:textId="77777777" w:rsidR="0096380B" w:rsidRPr="006D3CF4" w:rsidRDefault="0096380B" w:rsidP="006A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індексу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Руф'є</w:t>
            </w:r>
            <w:proofErr w:type="spellEnd"/>
          </w:p>
        </w:tc>
      </w:tr>
      <w:tr w:rsidR="0096380B" w:rsidRPr="006D3CF4" w14:paraId="299324FE" w14:textId="77777777" w:rsidTr="006A7FB6">
        <w:tc>
          <w:tcPr>
            <w:tcW w:w="4672" w:type="dxa"/>
          </w:tcPr>
          <w:p w14:paraId="5B41FD77" w14:textId="77777777" w:rsidR="0096380B" w:rsidRPr="006D3CF4" w:rsidRDefault="0096380B" w:rsidP="006A7FB6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Атлетичне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серце</w:t>
            </w:r>
            <w:proofErr w:type="spellEnd"/>
          </w:p>
        </w:tc>
        <w:tc>
          <w:tcPr>
            <w:tcW w:w="4673" w:type="dxa"/>
          </w:tcPr>
          <w:p w14:paraId="0DA5B811" w14:textId="77777777" w:rsidR="0096380B" w:rsidRPr="006D3CF4" w:rsidRDefault="0096380B" w:rsidP="006A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і &lt;</w:t>
            </w:r>
          </w:p>
        </w:tc>
      </w:tr>
      <w:tr w:rsidR="0096380B" w:rsidRPr="006D3CF4" w14:paraId="6AB3E36A" w14:textId="77777777" w:rsidTr="006A7FB6">
        <w:tc>
          <w:tcPr>
            <w:tcW w:w="4672" w:type="dxa"/>
          </w:tcPr>
          <w:p w14:paraId="0CFEDC53" w14:textId="77777777" w:rsidR="0096380B" w:rsidRPr="006D3CF4" w:rsidRDefault="0096380B" w:rsidP="006A7FB6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Серце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8570A89" w14:textId="77777777" w:rsidR="0096380B" w:rsidRPr="006D3CF4" w:rsidRDefault="0096380B" w:rsidP="006A7FB6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дуже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добре</w:t>
            </w:r>
          </w:p>
          <w:p w14:paraId="2E3BEDF5" w14:textId="77777777" w:rsidR="0096380B" w:rsidRPr="006D3CF4" w:rsidRDefault="0096380B" w:rsidP="006A7FB6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добре</w:t>
            </w:r>
          </w:p>
        </w:tc>
        <w:tc>
          <w:tcPr>
            <w:tcW w:w="4673" w:type="dxa"/>
          </w:tcPr>
          <w:p w14:paraId="4C248EB8" w14:textId="77777777" w:rsidR="0096380B" w:rsidRPr="006D3CF4" w:rsidRDefault="0096380B" w:rsidP="006A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403F5" w14:textId="77777777" w:rsidR="0096380B" w:rsidRPr="006D3CF4" w:rsidRDefault="0096380B" w:rsidP="006A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0,1 - 5,0</w:t>
            </w:r>
            <w:proofErr w:type="gramEnd"/>
          </w:p>
          <w:p w14:paraId="3098A30C" w14:textId="77777777" w:rsidR="0096380B" w:rsidRPr="006D3CF4" w:rsidRDefault="0096380B" w:rsidP="006A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5,1 – 10,0</w:t>
            </w:r>
          </w:p>
        </w:tc>
      </w:tr>
      <w:tr w:rsidR="0096380B" w:rsidRPr="006D3CF4" w14:paraId="36892036" w14:textId="77777777" w:rsidTr="006A7FB6">
        <w:tc>
          <w:tcPr>
            <w:tcW w:w="4672" w:type="dxa"/>
          </w:tcPr>
          <w:p w14:paraId="12285478" w14:textId="77777777" w:rsidR="0096380B" w:rsidRPr="006D3CF4" w:rsidRDefault="0096380B" w:rsidP="006A7FB6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Серцева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03D35D8" w14:textId="77777777" w:rsidR="0096380B" w:rsidRPr="006D3CF4" w:rsidRDefault="0096380B" w:rsidP="006A7FB6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середнього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ступеня</w:t>
            </w:r>
            <w:proofErr w:type="spellEnd"/>
          </w:p>
          <w:p w14:paraId="3747666D" w14:textId="77777777" w:rsidR="0096380B" w:rsidRPr="006D3CF4" w:rsidRDefault="0096380B" w:rsidP="006A7FB6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високого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ступеня</w:t>
            </w:r>
            <w:proofErr w:type="spellEnd"/>
          </w:p>
        </w:tc>
        <w:tc>
          <w:tcPr>
            <w:tcW w:w="4673" w:type="dxa"/>
          </w:tcPr>
          <w:p w14:paraId="49313DF6" w14:textId="77777777" w:rsidR="0096380B" w:rsidRPr="006D3CF4" w:rsidRDefault="0096380B" w:rsidP="006A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2E275" w14:textId="77777777" w:rsidR="0096380B" w:rsidRPr="006D3CF4" w:rsidRDefault="0096380B" w:rsidP="006A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10,1 – 15,0</w:t>
            </w:r>
            <w:proofErr w:type="gramEnd"/>
          </w:p>
          <w:p w14:paraId="32565F0C" w14:textId="77777777" w:rsidR="0096380B" w:rsidRPr="006D3CF4" w:rsidRDefault="0096380B" w:rsidP="006A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15,1 – 20,0</w:t>
            </w:r>
          </w:p>
        </w:tc>
      </w:tr>
      <w:bookmarkEnd w:id="3"/>
    </w:tbl>
    <w:p w14:paraId="7ECD2F59" w14:textId="77777777" w:rsidR="00FE2C4D" w:rsidRDefault="00FE2C4D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</w:p>
    <w:p w14:paraId="45A57638" w14:textId="427ADF16" w:rsidR="0096380B" w:rsidRPr="00CA0361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Сьогодні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застосовують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модифіковану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пробу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Руф’є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45 с, яку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спортсменів-початківців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спортом.</w:t>
      </w:r>
    </w:p>
    <w:p w14:paraId="77B52625" w14:textId="77777777" w:rsidR="0096380B" w:rsidRPr="00CA0361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Методика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модифікованої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Руф’є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наступна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перебуває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лежачи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спині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підраховують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частоту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15 с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(ЧСС</w:t>
      </w:r>
      <w:r w:rsidRPr="00CA0361">
        <w:rPr>
          <w:rFonts w:ascii="Times New Roman" w:eastAsia="TimesNewRoman" w:hAnsi="Times New Roman" w:cs="Times New Roman"/>
          <w:color w:val="000000"/>
          <w:sz w:val="20"/>
          <w:szCs w:val="20"/>
        </w:rPr>
        <w:t>1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пропонують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45 с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чого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обстежуваному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прийняти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лежачи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підрахувати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пульс за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перші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с (ЧСС</w:t>
      </w:r>
      <w:r w:rsidRPr="00CA0361">
        <w:rPr>
          <w:rFonts w:ascii="Times New Roman" w:eastAsia="TimesNewRoman" w:hAnsi="Times New Roman" w:cs="Times New Roman"/>
          <w:color w:val="000000"/>
          <w:sz w:val="20"/>
          <w:szCs w:val="20"/>
        </w:rPr>
        <w:t>2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с (ЧСС</w:t>
      </w:r>
      <w:r w:rsidRPr="00CA0361">
        <w:rPr>
          <w:rFonts w:ascii="Times New Roman" w:eastAsia="TimesNewRoman" w:hAnsi="Times New Roman" w:cs="Times New Roman"/>
          <w:color w:val="000000"/>
          <w:sz w:val="20"/>
          <w:szCs w:val="20"/>
        </w:rPr>
        <w:t>3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1-ї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підставляють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у формулу</w:t>
      </w:r>
      <w:proofErr w:type="gram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7B85578B" w14:textId="77777777" w:rsidR="0096380B" w:rsidRPr="00AE7BBC" w:rsidRDefault="0096380B" w:rsidP="00963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ІР = [4 (ЧСС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1 +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ЧСС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2 +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ЧСС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3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 -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200</w:t>
      </w:r>
      <w:proofErr w:type="gramStart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] :</w:t>
      </w:r>
      <w:proofErr w:type="gramEnd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10  (</w:t>
      </w:r>
      <w:proofErr w:type="spellStart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ум.од</w:t>
      </w:r>
      <w:proofErr w:type="spellEnd"/>
      <w:r w:rsidRPr="00AE7BB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.)</w:t>
      </w:r>
    </w:p>
    <w:p w14:paraId="457C644F" w14:textId="27ED9CFD" w:rsidR="0096380B" w:rsidRPr="00CA0361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Оцінку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таблицею </w:t>
      </w:r>
      <w:r w:rsidR="001372A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2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0210B6E" w14:textId="77777777" w:rsidR="0096380B" w:rsidRPr="00CA0361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Руф’є-Діксона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варіантом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попереднього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Розраховується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формулою:</w:t>
      </w:r>
    </w:p>
    <w:p w14:paraId="1EC067E9" w14:textId="77777777" w:rsidR="0096380B" w:rsidRPr="007E2BB7" w:rsidRDefault="0096380B" w:rsidP="00963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bookmarkStart w:id="4" w:name="_Hlk147071851"/>
      <w:proofErr w:type="spellStart"/>
      <w:r w:rsidRPr="007E2B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</w:t>
      </w:r>
      <w:proofErr w:type="spellEnd"/>
      <w:r w:rsidRPr="007E2B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2B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Руф’є-Діксона</w:t>
      </w:r>
      <w:proofErr w:type="spellEnd"/>
      <w:r w:rsidRPr="007E2B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= [(4 ЧСС</w:t>
      </w:r>
      <w:r w:rsidRPr="007E2BB7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 xml:space="preserve">2 </w:t>
      </w:r>
      <w:r w:rsidRPr="007E2B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– 70) + (4 ЧСС</w:t>
      </w:r>
      <w:r w:rsidRPr="007E2BB7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3</w:t>
      </w:r>
      <w:r w:rsidRPr="007E2B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- 4 ЧСС</w:t>
      </w:r>
      <w:r w:rsidRPr="007E2BB7">
        <w:rPr>
          <w:rFonts w:ascii="Times New Roman" w:eastAsia="TimesNewRoman" w:hAnsi="Times New Roman" w:cs="Times New Roman"/>
          <w:b/>
          <w:bCs/>
          <w:color w:val="000000"/>
          <w:sz w:val="20"/>
          <w:szCs w:val="20"/>
        </w:rPr>
        <w:t>1</w:t>
      </w:r>
      <w:r w:rsidRPr="007E2B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</w:t>
      </w:r>
      <w:proofErr w:type="gramStart"/>
      <w:r w:rsidRPr="007E2B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] :</w:t>
      </w:r>
      <w:proofErr w:type="gramEnd"/>
      <w:r w:rsidRPr="007E2B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100</w:t>
      </w:r>
    </w:p>
    <w:p w14:paraId="565F0D2A" w14:textId="77777777" w:rsidR="0096380B" w:rsidRPr="008A480A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Результати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розцінюють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величиною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індексу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0 до 2,9</w:t>
      </w:r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як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добрі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3,0 до 5,9 – як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середні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6,0 до 8,0 – як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нижчі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середніх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8,0 і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більше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як </w:t>
      </w:r>
      <w:proofErr w:type="spellStart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погані</w:t>
      </w:r>
      <w:proofErr w:type="spellEnd"/>
      <w:r w:rsidRPr="008A48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bookmarkEnd w:id="4"/>
    <w:p w14:paraId="1788F4F4" w14:textId="7477EE13" w:rsidR="0096380B" w:rsidRPr="00CA0361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Під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комплексного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огляду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шкільного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7E2BB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медико-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 за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7E2BB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учнів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загальноосвітніх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закладах, яке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затверджено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Наказом</w:t>
      </w:r>
      <w:r w:rsidRPr="007E2BB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освіти</w:t>
      </w:r>
      <w:proofErr w:type="spellEnd"/>
      <w:r w:rsidRPr="007E2BB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науки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20.07.2009 № 518/674)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функціональна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проба</w:t>
      </w:r>
      <w:r w:rsidRPr="007E2BB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Руф’є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проводиться за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наступною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методикою: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3-5</w:t>
      </w:r>
      <w:proofErr w:type="gram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7E2BB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підраховують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кожні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с,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доки не буде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2-3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однакові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цифри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Одержані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записують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до протоколу</w:t>
      </w:r>
      <w:proofErr w:type="gram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пропонується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Учень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глибоких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витягнутими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руками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вперед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45 с.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Учневі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пропонують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гучно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(«один», «два», і </w:t>
      </w:r>
      <w:proofErr w:type="gram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т.д.</w:t>
      </w:r>
      <w:proofErr w:type="gram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уникнути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6-7</w:t>
      </w:r>
      <w:proofErr w:type="gram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пропонується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метою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уникнення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негативного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надмірного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стежити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збереженням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умов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зовнішніми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ознаками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втоми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закінченню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учень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сідає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далі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медичним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працівником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проводиться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підрахунок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за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перші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с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першої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за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с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першої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Оцінку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ІР (табл. </w:t>
      </w:r>
      <w:r w:rsidR="001857F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3</w:t>
      </w:r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7C29EF4E" w14:textId="2E3C84ED" w:rsidR="0096380B" w:rsidRPr="001857F8" w:rsidRDefault="0096380B" w:rsidP="0096380B">
      <w:pPr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CA0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1857F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3</w:t>
      </w:r>
    </w:p>
    <w:p w14:paraId="6FCE8C27" w14:textId="77777777" w:rsidR="0096380B" w:rsidRDefault="0096380B" w:rsidP="0096380B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bookmarkStart w:id="5" w:name="_Hlk147072109"/>
      <w:proofErr w:type="spellStart"/>
      <w:r w:rsidRPr="00693021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69302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93021">
        <w:rPr>
          <w:rFonts w:ascii="Times New Roman" w:eastAsia="TimesNewRoman" w:hAnsi="Times New Roman" w:cs="Times New Roman"/>
          <w:sz w:val="28"/>
          <w:szCs w:val="28"/>
        </w:rPr>
        <w:t>індексу</w:t>
      </w:r>
      <w:proofErr w:type="spellEnd"/>
      <w:r w:rsidRPr="0069302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93021">
        <w:rPr>
          <w:rFonts w:ascii="Times New Roman" w:eastAsia="TimesNewRoman" w:hAnsi="Times New Roman" w:cs="Times New Roman"/>
          <w:sz w:val="28"/>
          <w:szCs w:val="28"/>
        </w:rPr>
        <w:t>Руф’є</w:t>
      </w:r>
      <w:proofErr w:type="spellEnd"/>
      <w:r w:rsidRPr="0069302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93021">
        <w:rPr>
          <w:rFonts w:ascii="Times New Roman" w:eastAsia="TimesNewRoman" w:hAnsi="Times New Roman" w:cs="Times New Roman"/>
          <w:sz w:val="28"/>
          <w:szCs w:val="28"/>
        </w:rPr>
        <w:t>дітей</w:t>
      </w:r>
      <w:proofErr w:type="spellEnd"/>
      <w:r w:rsidRPr="0069302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693021">
        <w:rPr>
          <w:rFonts w:ascii="Times New Roman" w:eastAsia="TimesNewRoman" w:hAnsi="Times New Roman" w:cs="Times New Roman"/>
          <w:sz w:val="28"/>
          <w:szCs w:val="28"/>
        </w:rPr>
        <w:t>6-18</w:t>
      </w:r>
      <w:proofErr w:type="gramEnd"/>
      <w:r w:rsidRPr="0069302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93021">
        <w:rPr>
          <w:rFonts w:ascii="Times New Roman" w:eastAsia="TimesNewRoman" w:hAnsi="Times New Roman" w:cs="Times New Roman"/>
          <w:sz w:val="28"/>
          <w:szCs w:val="28"/>
        </w:rPr>
        <w:t>років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417"/>
        <w:gridCol w:w="1559"/>
        <w:gridCol w:w="1560"/>
        <w:gridCol w:w="1701"/>
        <w:gridCol w:w="1553"/>
      </w:tblGrid>
      <w:tr w:rsidR="0096380B" w:rsidRPr="00A208C5" w14:paraId="143A023F" w14:textId="77777777" w:rsidTr="006A7FB6">
        <w:tc>
          <w:tcPr>
            <w:tcW w:w="704" w:type="dxa"/>
            <w:vMerge w:val="restart"/>
          </w:tcPr>
          <w:p w14:paraId="61E3A815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E39BB">
              <w:rPr>
                <w:rFonts w:ascii="Times New Roman" w:hAnsi="Times New Roman" w:cs="Times New Roman"/>
                <w:lang w:val="ru-RU"/>
              </w:rPr>
              <w:t>Вік</w:t>
            </w:r>
            <w:proofErr w:type="spellEnd"/>
          </w:p>
        </w:tc>
        <w:tc>
          <w:tcPr>
            <w:tcW w:w="851" w:type="dxa"/>
            <w:vMerge w:val="restart"/>
          </w:tcPr>
          <w:p w14:paraId="75B40777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Стать</w:t>
            </w:r>
          </w:p>
        </w:tc>
        <w:tc>
          <w:tcPr>
            <w:tcW w:w="7790" w:type="dxa"/>
            <w:gridSpan w:val="5"/>
          </w:tcPr>
          <w:p w14:paraId="168F5845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E39BB">
              <w:rPr>
                <w:rFonts w:ascii="Times New Roman" w:hAnsi="Times New Roman" w:cs="Times New Roman"/>
                <w:lang w:val="ru-RU"/>
              </w:rPr>
              <w:t>Рівні</w:t>
            </w:r>
            <w:proofErr w:type="spellEnd"/>
          </w:p>
        </w:tc>
      </w:tr>
      <w:tr w:rsidR="0096380B" w:rsidRPr="00A208C5" w14:paraId="4B17E295" w14:textId="77777777" w:rsidTr="006A7FB6">
        <w:tc>
          <w:tcPr>
            <w:tcW w:w="704" w:type="dxa"/>
            <w:vMerge/>
          </w:tcPr>
          <w:p w14:paraId="1074E0B0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EDC837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AB9F8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E39BB">
              <w:rPr>
                <w:rFonts w:ascii="Times New Roman" w:hAnsi="Times New Roman" w:cs="Times New Roman"/>
                <w:lang w:val="ru-RU"/>
              </w:rPr>
              <w:t>Високий</w:t>
            </w:r>
            <w:proofErr w:type="spellEnd"/>
          </w:p>
        </w:tc>
        <w:tc>
          <w:tcPr>
            <w:tcW w:w="1559" w:type="dxa"/>
          </w:tcPr>
          <w:p w14:paraId="7F12F1B3" w14:textId="48F2C7A4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E39BB">
              <w:rPr>
                <w:rFonts w:ascii="Times New Roman" w:hAnsi="Times New Roman" w:cs="Times New Roman"/>
                <w:lang w:val="ru-RU"/>
              </w:rPr>
              <w:t>Вище</w:t>
            </w:r>
            <w:proofErr w:type="spellEnd"/>
            <w:r w:rsidRPr="00DE39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E5163"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 w:rsidRPr="00DE39BB">
              <w:rPr>
                <w:rFonts w:ascii="Times New Roman" w:hAnsi="Times New Roman" w:cs="Times New Roman"/>
                <w:lang w:val="ru-RU"/>
              </w:rPr>
              <w:t>середн</w:t>
            </w:r>
            <w:r w:rsidR="006E5163">
              <w:rPr>
                <w:rFonts w:ascii="Times New Roman" w:hAnsi="Times New Roman" w:cs="Times New Roman"/>
                <w:lang w:val="ru-RU"/>
              </w:rPr>
              <w:t>ій</w:t>
            </w:r>
            <w:proofErr w:type="spellEnd"/>
          </w:p>
        </w:tc>
        <w:tc>
          <w:tcPr>
            <w:tcW w:w="1560" w:type="dxa"/>
          </w:tcPr>
          <w:p w14:paraId="14CF581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E39BB">
              <w:rPr>
                <w:rFonts w:ascii="Times New Roman" w:hAnsi="Times New Roman" w:cs="Times New Roman"/>
                <w:lang w:val="ru-RU"/>
              </w:rPr>
              <w:t>Середній</w:t>
            </w:r>
            <w:proofErr w:type="spellEnd"/>
          </w:p>
        </w:tc>
        <w:tc>
          <w:tcPr>
            <w:tcW w:w="1701" w:type="dxa"/>
          </w:tcPr>
          <w:p w14:paraId="71723759" w14:textId="7FF141F4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E39BB">
              <w:rPr>
                <w:rFonts w:ascii="Times New Roman" w:hAnsi="Times New Roman" w:cs="Times New Roman"/>
                <w:lang w:val="ru-RU"/>
              </w:rPr>
              <w:t>Нижче</w:t>
            </w:r>
            <w:proofErr w:type="spellEnd"/>
            <w:r w:rsidRPr="00DE39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E5163"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 w:rsidRPr="00DE39BB">
              <w:rPr>
                <w:rFonts w:ascii="Times New Roman" w:hAnsi="Times New Roman" w:cs="Times New Roman"/>
                <w:lang w:val="ru-RU"/>
              </w:rPr>
              <w:t>середн</w:t>
            </w:r>
            <w:r w:rsidR="006E5163">
              <w:rPr>
                <w:rFonts w:ascii="Times New Roman" w:hAnsi="Times New Roman" w:cs="Times New Roman"/>
                <w:lang w:val="ru-RU"/>
              </w:rPr>
              <w:t>ій</w:t>
            </w:r>
            <w:proofErr w:type="spellEnd"/>
          </w:p>
        </w:tc>
        <w:tc>
          <w:tcPr>
            <w:tcW w:w="1553" w:type="dxa"/>
          </w:tcPr>
          <w:p w14:paraId="45C253DB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E39BB">
              <w:rPr>
                <w:rFonts w:ascii="Times New Roman" w:hAnsi="Times New Roman" w:cs="Times New Roman"/>
                <w:lang w:val="ru-RU"/>
              </w:rPr>
              <w:t>Низький</w:t>
            </w:r>
            <w:proofErr w:type="spellEnd"/>
          </w:p>
        </w:tc>
      </w:tr>
      <w:tr w:rsidR="0096380B" w:rsidRPr="00A208C5" w14:paraId="17CA4DD0" w14:textId="77777777" w:rsidTr="006A7FB6">
        <w:tc>
          <w:tcPr>
            <w:tcW w:w="704" w:type="dxa"/>
            <w:vMerge/>
          </w:tcPr>
          <w:p w14:paraId="6E5C48CA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5616557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79B377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14:paraId="2BE6B58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</w:tcPr>
          <w:p w14:paraId="4CCF831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01" w:type="dxa"/>
          </w:tcPr>
          <w:p w14:paraId="4FE5E5C5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53" w:type="dxa"/>
          </w:tcPr>
          <w:p w14:paraId="41ACA88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96380B" w:rsidRPr="00A208C5" w14:paraId="00AEAB6A" w14:textId="77777777" w:rsidTr="006A7FB6">
        <w:tc>
          <w:tcPr>
            <w:tcW w:w="704" w:type="dxa"/>
            <w:vMerge w:val="restart"/>
          </w:tcPr>
          <w:p w14:paraId="4717E753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6*</w:t>
            </w:r>
          </w:p>
        </w:tc>
        <w:tc>
          <w:tcPr>
            <w:tcW w:w="851" w:type="dxa"/>
          </w:tcPr>
          <w:p w14:paraId="7B122EEB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039EF06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≤5.20</w:t>
            </w:r>
          </w:p>
        </w:tc>
        <w:tc>
          <w:tcPr>
            <w:tcW w:w="1559" w:type="dxa"/>
          </w:tcPr>
          <w:p w14:paraId="037A2D3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5.21-6.80</w:t>
            </w:r>
          </w:p>
        </w:tc>
        <w:tc>
          <w:tcPr>
            <w:tcW w:w="1560" w:type="dxa"/>
          </w:tcPr>
          <w:p w14:paraId="01263403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6.81-11.20</w:t>
            </w:r>
          </w:p>
        </w:tc>
        <w:tc>
          <w:tcPr>
            <w:tcW w:w="1701" w:type="dxa"/>
          </w:tcPr>
          <w:p w14:paraId="31A6091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11.21-14.60</w:t>
            </w:r>
          </w:p>
        </w:tc>
        <w:tc>
          <w:tcPr>
            <w:tcW w:w="1553" w:type="dxa"/>
          </w:tcPr>
          <w:p w14:paraId="49B6B0E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≥14.61</w:t>
            </w:r>
          </w:p>
        </w:tc>
      </w:tr>
      <w:tr w:rsidR="0096380B" w:rsidRPr="00A208C5" w14:paraId="7933EC5F" w14:textId="77777777" w:rsidTr="006A7FB6">
        <w:tc>
          <w:tcPr>
            <w:tcW w:w="704" w:type="dxa"/>
            <w:vMerge/>
          </w:tcPr>
          <w:p w14:paraId="47F2B090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6C60DA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0CCC56A7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≤3.60</w:t>
            </w:r>
          </w:p>
        </w:tc>
        <w:tc>
          <w:tcPr>
            <w:tcW w:w="1559" w:type="dxa"/>
          </w:tcPr>
          <w:p w14:paraId="1624F4C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3.61-6.20</w:t>
            </w:r>
          </w:p>
        </w:tc>
        <w:tc>
          <w:tcPr>
            <w:tcW w:w="1560" w:type="dxa"/>
          </w:tcPr>
          <w:p w14:paraId="22CF1AE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6.21-12.80</w:t>
            </w:r>
          </w:p>
        </w:tc>
        <w:tc>
          <w:tcPr>
            <w:tcW w:w="1701" w:type="dxa"/>
          </w:tcPr>
          <w:p w14:paraId="7E4915D7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12.81-16.60</w:t>
            </w:r>
          </w:p>
        </w:tc>
        <w:tc>
          <w:tcPr>
            <w:tcW w:w="1553" w:type="dxa"/>
          </w:tcPr>
          <w:p w14:paraId="54D7E333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≥16.61</w:t>
            </w:r>
          </w:p>
        </w:tc>
      </w:tr>
      <w:tr w:rsidR="0096380B" w:rsidRPr="00A208C5" w14:paraId="390E0D0F" w14:textId="77777777" w:rsidTr="006A7FB6">
        <w:tc>
          <w:tcPr>
            <w:tcW w:w="704" w:type="dxa"/>
            <w:vMerge w:val="restart"/>
          </w:tcPr>
          <w:p w14:paraId="57FFF857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7*</w:t>
            </w:r>
          </w:p>
        </w:tc>
        <w:tc>
          <w:tcPr>
            <w:tcW w:w="851" w:type="dxa"/>
          </w:tcPr>
          <w:p w14:paraId="11E6F6F4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649C9DD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≤4.00</w:t>
            </w:r>
          </w:p>
        </w:tc>
        <w:tc>
          <w:tcPr>
            <w:tcW w:w="1559" w:type="dxa"/>
          </w:tcPr>
          <w:p w14:paraId="676051F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4.01-6.40</w:t>
            </w:r>
          </w:p>
        </w:tc>
        <w:tc>
          <w:tcPr>
            <w:tcW w:w="1560" w:type="dxa"/>
          </w:tcPr>
          <w:p w14:paraId="753468A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6.41-10.80</w:t>
            </w:r>
          </w:p>
        </w:tc>
        <w:tc>
          <w:tcPr>
            <w:tcW w:w="1701" w:type="dxa"/>
          </w:tcPr>
          <w:p w14:paraId="769FFAA0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10.81-14.00</w:t>
            </w:r>
          </w:p>
        </w:tc>
        <w:tc>
          <w:tcPr>
            <w:tcW w:w="1553" w:type="dxa"/>
          </w:tcPr>
          <w:p w14:paraId="725EC73B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≥14.01</w:t>
            </w:r>
          </w:p>
        </w:tc>
      </w:tr>
      <w:tr w:rsidR="0096380B" w:rsidRPr="00A208C5" w14:paraId="782CC1F8" w14:textId="77777777" w:rsidTr="006A7FB6">
        <w:tc>
          <w:tcPr>
            <w:tcW w:w="704" w:type="dxa"/>
            <w:vMerge/>
          </w:tcPr>
          <w:p w14:paraId="6B17BE35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E8D53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6748706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≤3.60</w:t>
            </w:r>
          </w:p>
        </w:tc>
        <w:tc>
          <w:tcPr>
            <w:tcW w:w="1559" w:type="dxa"/>
          </w:tcPr>
          <w:p w14:paraId="610DF07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3.61-6.00</w:t>
            </w:r>
          </w:p>
        </w:tc>
        <w:tc>
          <w:tcPr>
            <w:tcW w:w="1560" w:type="dxa"/>
          </w:tcPr>
          <w:p w14:paraId="6ECE2000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6.01-10.80</w:t>
            </w:r>
          </w:p>
        </w:tc>
        <w:tc>
          <w:tcPr>
            <w:tcW w:w="1701" w:type="dxa"/>
          </w:tcPr>
          <w:p w14:paraId="74AE90F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10-81-14.80</w:t>
            </w:r>
          </w:p>
        </w:tc>
        <w:tc>
          <w:tcPr>
            <w:tcW w:w="1553" w:type="dxa"/>
          </w:tcPr>
          <w:p w14:paraId="67FD36D0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≥14.81</w:t>
            </w:r>
          </w:p>
        </w:tc>
      </w:tr>
      <w:tr w:rsidR="0096380B" w:rsidRPr="00A208C5" w14:paraId="3E032E06" w14:textId="77777777" w:rsidTr="006A7FB6">
        <w:tc>
          <w:tcPr>
            <w:tcW w:w="704" w:type="dxa"/>
            <w:vMerge w:val="restart"/>
          </w:tcPr>
          <w:p w14:paraId="681A4353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14:paraId="5295A74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523F7715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≤3.60</w:t>
            </w:r>
          </w:p>
        </w:tc>
        <w:tc>
          <w:tcPr>
            <w:tcW w:w="1559" w:type="dxa"/>
          </w:tcPr>
          <w:p w14:paraId="67C8391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3.61-6.00</w:t>
            </w:r>
          </w:p>
        </w:tc>
        <w:tc>
          <w:tcPr>
            <w:tcW w:w="1560" w:type="dxa"/>
          </w:tcPr>
          <w:p w14:paraId="0744219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6.01-9.60</w:t>
            </w:r>
          </w:p>
        </w:tc>
        <w:tc>
          <w:tcPr>
            <w:tcW w:w="1701" w:type="dxa"/>
          </w:tcPr>
          <w:p w14:paraId="5BC99B0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9.61-13.60</w:t>
            </w:r>
          </w:p>
        </w:tc>
        <w:tc>
          <w:tcPr>
            <w:tcW w:w="1553" w:type="dxa"/>
          </w:tcPr>
          <w:p w14:paraId="604E7C4B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≥13.61</w:t>
            </w:r>
          </w:p>
        </w:tc>
      </w:tr>
      <w:tr w:rsidR="0096380B" w:rsidRPr="00D0734B" w14:paraId="553F73BE" w14:textId="77777777" w:rsidTr="006A7FB6">
        <w:tc>
          <w:tcPr>
            <w:tcW w:w="704" w:type="dxa"/>
            <w:vMerge/>
          </w:tcPr>
          <w:p w14:paraId="1B0981C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C4BB2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544DD8A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≤4.80</w:t>
            </w:r>
          </w:p>
        </w:tc>
        <w:tc>
          <w:tcPr>
            <w:tcW w:w="1559" w:type="dxa"/>
          </w:tcPr>
          <w:p w14:paraId="497CA18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4.81-6.40</w:t>
            </w:r>
          </w:p>
        </w:tc>
        <w:tc>
          <w:tcPr>
            <w:tcW w:w="1560" w:type="dxa"/>
          </w:tcPr>
          <w:p w14:paraId="4D4DC0B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6.41-9.60</w:t>
            </w:r>
          </w:p>
        </w:tc>
        <w:tc>
          <w:tcPr>
            <w:tcW w:w="1701" w:type="dxa"/>
          </w:tcPr>
          <w:p w14:paraId="3AE6EBF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9.61-13.60</w:t>
            </w:r>
          </w:p>
        </w:tc>
        <w:tc>
          <w:tcPr>
            <w:tcW w:w="1553" w:type="dxa"/>
          </w:tcPr>
          <w:p w14:paraId="47F676F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≥13.61</w:t>
            </w:r>
          </w:p>
        </w:tc>
      </w:tr>
      <w:tr w:rsidR="0096380B" w:rsidRPr="00D0734B" w14:paraId="10E09938" w14:textId="77777777" w:rsidTr="006A7FB6">
        <w:tc>
          <w:tcPr>
            <w:tcW w:w="704" w:type="dxa"/>
            <w:vMerge w:val="restart"/>
          </w:tcPr>
          <w:p w14:paraId="7E4823D3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51" w:type="dxa"/>
          </w:tcPr>
          <w:p w14:paraId="309353C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1F0107E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≤3.60</w:t>
            </w:r>
          </w:p>
        </w:tc>
        <w:tc>
          <w:tcPr>
            <w:tcW w:w="1559" w:type="dxa"/>
          </w:tcPr>
          <w:p w14:paraId="0599EFC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3.61-6.80</w:t>
            </w:r>
          </w:p>
        </w:tc>
        <w:tc>
          <w:tcPr>
            <w:tcW w:w="1560" w:type="dxa"/>
          </w:tcPr>
          <w:p w14:paraId="7D8FA51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6.81-10.00</w:t>
            </w:r>
          </w:p>
        </w:tc>
        <w:tc>
          <w:tcPr>
            <w:tcW w:w="1701" w:type="dxa"/>
          </w:tcPr>
          <w:p w14:paraId="0ABD455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10.01-13.60</w:t>
            </w:r>
          </w:p>
        </w:tc>
        <w:tc>
          <w:tcPr>
            <w:tcW w:w="1553" w:type="dxa"/>
          </w:tcPr>
          <w:p w14:paraId="1A1ACAB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≥13.61</w:t>
            </w:r>
          </w:p>
        </w:tc>
      </w:tr>
      <w:tr w:rsidR="0096380B" w:rsidRPr="00D0734B" w14:paraId="29E4C004" w14:textId="77777777" w:rsidTr="006A7FB6">
        <w:tc>
          <w:tcPr>
            <w:tcW w:w="704" w:type="dxa"/>
            <w:vMerge/>
          </w:tcPr>
          <w:p w14:paraId="1362A3A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2E15B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6504D11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≤4.00</w:t>
            </w:r>
          </w:p>
        </w:tc>
        <w:tc>
          <w:tcPr>
            <w:tcW w:w="1559" w:type="dxa"/>
          </w:tcPr>
          <w:p w14:paraId="04D672F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4.01-6.00</w:t>
            </w:r>
          </w:p>
        </w:tc>
        <w:tc>
          <w:tcPr>
            <w:tcW w:w="1560" w:type="dxa"/>
          </w:tcPr>
          <w:p w14:paraId="32054120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6.01-10.00</w:t>
            </w:r>
          </w:p>
        </w:tc>
        <w:tc>
          <w:tcPr>
            <w:tcW w:w="1701" w:type="dxa"/>
          </w:tcPr>
          <w:p w14:paraId="0EA048D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10.01-14.00</w:t>
            </w:r>
          </w:p>
        </w:tc>
        <w:tc>
          <w:tcPr>
            <w:tcW w:w="1553" w:type="dxa"/>
          </w:tcPr>
          <w:p w14:paraId="3616F5E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≥14.01</w:t>
            </w:r>
          </w:p>
        </w:tc>
      </w:tr>
      <w:tr w:rsidR="0096380B" w:rsidRPr="00D0734B" w14:paraId="0DCAE78A" w14:textId="77777777" w:rsidTr="006A7FB6">
        <w:tc>
          <w:tcPr>
            <w:tcW w:w="704" w:type="dxa"/>
            <w:vMerge w:val="restart"/>
          </w:tcPr>
          <w:p w14:paraId="47A7212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51" w:type="dxa"/>
          </w:tcPr>
          <w:p w14:paraId="71AFF53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065F183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≤3.20</w:t>
            </w:r>
          </w:p>
        </w:tc>
        <w:tc>
          <w:tcPr>
            <w:tcW w:w="1559" w:type="dxa"/>
          </w:tcPr>
          <w:p w14:paraId="09310313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3.21-6.80</w:t>
            </w:r>
          </w:p>
        </w:tc>
        <w:tc>
          <w:tcPr>
            <w:tcW w:w="1560" w:type="dxa"/>
          </w:tcPr>
          <w:p w14:paraId="384FA48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6.81-10.40</w:t>
            </w:r>
          </w:p>
        </w:tc>
        <w:tc>
          <w:tcPr>
            <w:tcW w:w="1701" w:type="dxa"/>
          </w:tcPr>
          <w:p w14:paraId="6266AFF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10.41-14.60</w:t>
            </w:r>
          </w:p>
        </w:tc>
        <w:tc>
          <w:tcPr>
            <w:tcW w:w="1553" w:type="dxa"/>
          </w:tcPr>
          <w:p w14:paraId="1879A56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≥14.61</w:t>
            </w:r>
          </w:p>
        </w:tc>
      </w:tr>
      <w:tr w:rsidR="0096380B" w:rsidRPr="00D0734B" w14:paraId="42552E22" w14:textId="77777777" w:rsidTr="006A7FB6">
        <w:tc>
          <w:tcPr>
            <w:tcW w:w="704" w:type="dxa"/>
            <w:vMerge/>
          </w:tcPr>
          <w:p w14:paraId="3C21566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FD5D6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43F50F0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≤3.40</w:t>
            </w:r>
          </w:p>
        </w:tc>
        <w:tc>
          <w:tcPr>
            <w:tcW w:w="1559" w:type="dxa"/>
          </w:tcPr>
          <w:p w14:paraId="2B4EA53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3.41-6.80</w:t>
            </w:r>
          </w:p>
        </w:tc>
        <w:tc>
          <w:tcPr>
            <w:tcW w:w="1560" w:type="dxa"/>
          </w:tcPr>
          <w:p w14:paraId="0324D36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6.81-10.80</w:t>
            </w:r>
          </w:p>
        </w:tc>
        <w:tc>
          <w:tcPr>
            <w:tcW w:w="1701" w:type="dxa"/>
          </w:tcPr>
          <w:p w14:paraId="36CEAE2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10-81-15.20</w:t>
            </w:r>
          </w:p>
        </w:tc>
        <w:tc>
          <w:tcPr>
            <w:tcW w:w="1553" w:type="dxa"/>
          </w:tcPr>
          <w:p w14:paraId="31FC97B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≥15.21</w:t>
            </w:r>
          </w:p>
        </w:tc>
      </w:tr>
      <w:tr w:rsidR="0096380B" w:rsidRPr="00D0734B" w14:paraId="3187D251" w14:textId="77777777" w:rsidTr="006A7FB6">
        <w:tc>
          <w:tcPr>
            <w:tcW w:w="704" w:type="dxa"/>
            <w:vMerge w:val="restart"/>
          </w:tcPr>
          <w:p w14:paraId="58D7A25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851" w:type="dxa"/>
          </w:tcPr>
          <w:p w14:paraId="637BFB8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266E84E0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≤3.60</w:t>
            </w:r>
          </w:p>
        </w:tc>
        <w:tc>
          <w:tcPr>
            <w:tcW w:w="1559" w:type="dxa"/>
          </w:tcPr>
          <w:p w14:paraId="78EC5CB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3.61-6.40</w:t>
            </w:r>
          </w:p>
        </w:tc>
        <w:tc>
          <w:tcPr>
            <w:tcW w:w="1560" w:type="dxa"/>
          </w:tcPr>
          <w:p w14:paraId="1EAEB6E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6.41-10.40</w:t>
            </w:r>
          </w:p>
        </w:tc>
        <w:tc>
          <w:tcPr>
            <w:tcW w:w="1701" w:type="dxa"/>
          </w:tcPr>
          <w:p w14:paraId="2FAC43B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10.41-14.40</w:t>
            </w:r>
          </w:p>
        </w:tc>
        <w:tc>
          <w:tcPr>
            <w:tcW w:w="1553" w:type="dxa"/>
          </w:tcPr>
          <w:p w14:paraId="7EAF98DA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≥14.41</w:t>
            </w:r>
          </w:p>
        </w:tc>
      </w:tr>
      <w:tr w:rsidR="0096380B" w:rsidRPr="00D0734B" w14:paraId="43C8B21C" w14:textId="77777777" w:rsidTr="006A7FB6">
        <w:tc>
          <w:tcPr>
            <w:tcW w:w="704" w:type="dxa"/>
            <w:vMerge/>
          </w:tcPr>
          <w:p w14:paraId="429C2F4A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CEF6C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2ADD584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≤4.00</w:t>
            </w:r>
          </w:p>
        </w:tc>
        <w:tc>
          <w:tcPr>
            <w:tcW w:w="1559" w:type="dxa"/>
          </w:tcPr>
          <w:p w14:paraId="088F7F1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4.01-6.40</w:t>
            </w:r>
          </w:p>
        </w:tc>
        <w:tc>
          <w:tcPr>
            <w:tcW w:w="1560" w:type="dxa"/>
          </w:tcPr>
          <w:p w14:paraId="040C830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6.41-10.80</w:t>
            </w:r>
          </w:p>
        </w:tc>
        <w:tc>
          <w:tcPr>
            <w:tcW w:w="1701" w:type="dxa"/>
          </w:tcPr>
          <w:p w14:paraId="6F0AA6C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10.81-15.60</w:t>
            </w:r>
          </w:p>
        </w:tc>
        <w:tc>
          <w:tcPr>
            <w:tcW w:w="1553" w:type="dxa"/>
          </w:tcPr>
          <w:p w14:paraId="06AD5CAB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≥15.61</w:t>
            </w:r>
          </w:p>
        </w:tc>
      </w:tr>
      <w:tr w:rsidR="0096380B" w:rsidRPr="003827C0" w14:paraId="72D3C809" w14:textId="77777777" w:rsidTr="006A7FB6">
        <w:tc>
          <w:tcPr>
            <w:tcW w:w="704" w:type="dxa"/>
            <w:vMerge w:val="restart"/>
          </w:tcPr>
          <w:p w14:paraId="0565B98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851" w:type="dxa"/>
          </w:tcPr>
          <w:p w14:paraId="2A8B7CA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443B1D17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≤3.60</w:t>
            </w:r>
          </w:p>
        </w:tc>
        <w:tc>
          <w:tcPr>
            <w:tcW w:w="1559" w:type="dxa"/>
          </w:tcPr>
          <w:p w14:paraId="2AD7DB3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3.61-7.20</w:t>
            </w:r>
          </w:p>
        </w:tc>
        <w:tc>
          <w:tcPr>
            <w:tcW w:w="1560" w:type="dxa"/>
          </w:tcPr>
          <w:p w14:paraId="3600A67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7.21-11.20</w:t>
            </w:r>
          </w:p>
        </w:tc>
        <w:tc>
          <w:tcPr>
            <w:tcW w:w="1701" w:type="dxa"/>
          </w:tcPr>
          <w:p w14:paraId="51FFF26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11.21-15.60</w:t>
            </w:r>
          </w:p>
        </w:tc>
        <w:tc>
          <w:tcPr>
            <w:tcW w:w="1553" w:type="dxa"/>
          </w:tcPr>
          <w:p w14:paraId="630285C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≥15.61</w:t>
            </w:r>
          </w:p>
        </w:tc>
      </w:tr>
      <w:tr w:rsidR="0096380B" w:rsidRPr="003827C0" w14:paraId="75FAFBC8" w14:textId="77777777" w:rsidTr="006A7FB6">
        <w:tc>
          <w:tcPr>
            <w:tcW w:w="704" w:type="dxa"/>
            <w:vMerge/>
          </w:tcPr>
          <w:p w14:paraId="41ADF4C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9586A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085AE21A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≤4.40</w:t>
            </w:r>
          </w:p>
        </w:tc>
        <w:tc>
          <w:tcPr>
            <w:tcW w:w="1559" w:type="dxa"/>
          </w:tcPr>
          <w:p w14:paraId="21A0AC7B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4.41-7.20</w:t>
            </w:r>
          </w:p>
        </w:tc>
        <w:tc>
          <w:tcPr>
            <w:tcW w:w="1560" w:type="dxa"/>
          </w:tcPr>
          <w:p w14:paraId="2C05A48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7.21-12.00</w:t>
            </w:r>
          </w:p>
        </w:tc>
        <w:tc>
          <w:tcPr>
            <w:tcW w:w="1701" w:type="dxa"/>
          </w:tcPr>
          <w:p w14:paraId="6F85B19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12.01-16.80</w:t>
            </w:r>
          </w:p>
        </w:tc>
        <w:tc>
          <w:tcPr>
            <w:tcW w:w="1553" w:type="dxa"/>
          </w:tcPr>
          <w:p w14:paraId="76FA28C5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≥16.81</w:t>
            </w:r>
          </w:p>
        </w:tc>
      </w:tr>
      <w:tr w:rsidR="0096380B" w:rsidRPr="003827C0" w14:paraId="081982CB" w14:textId="77777777" w:rsidTr="006A7FB6">
        <w:tc>
          <w:tcPr>
            <w:tcW w:w="704" w:type="dxa"/>
            <w:vMerge w:val="restart"/>
          </w:tcPr>
          <w:p w14:paraId="389A2F5A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lastRenderedPageBreak/>
              <w:t>13</w:t>
            </w:r>
          </w:p>
        </w:tc>
        <w:tc>
          <w:tcPr>
            <w:tcW w:w="851" w:type="dxa"/>
          </w:tcPr>
          <w:p w14:paraId="0E1767B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32F3818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≤4.40</w:t>
            </w:r>
          </w:p>
        </w:tc>
        <w:tc>
          <w:tcPr>
            <w:tcW w:w="1559" w:type="dxa"/>
          </w:tcPr>
          <w:p w14:paraId="42BDA11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4.41-7.60</w:t>
            </w:r>
          </w:p>
        </w:tc>
        <w:tc>
          <w:tcPr>
            <w:tcW w:w="1560" w:type="dxa"/>
          </w:tcPr>
          <w:p w14:paraId="7FD8CE6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7.61-10.80</w:t>
            </w:r>
          </w:p>
        </w:tc>
        <w:tc>
          <w:tcPr>
            <w:tcW w:w="1701" w:type="dxa"/>
          </w:tcPr>
          <w:p w14:paraId="3B7365B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10.81-15.20</w:t>
            </w:r>
          </w:p>
        </w:tc>
        <w:tc>
          <w:tcPr>
            <w:tcW w:w="1553" w:type="dxa"/>
          </w:tcPr>
          <w:p w14:paraId="5510FF2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≥15.21</w:t>
            </w:r>
          </w:p>
        </w:tc>
      </w:tr>
      <w:tr w:rsidR="0096380B" w:rsidRPr="003827C0" w14:paraId="571D6128" w14:textId="77777777" w:rsidTr="006A7FB6">
        <w:tc>
          <w:tcPr>
            <w:tcW w:w="704" w:type="dxa"/>
            <w:vMerge/>
          </w:tcPr>
          <w:p w14:paraId="55BB506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0780A5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50DEE087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≤4.40</w:t>
            </w:r>
          </w:p>
        </w:tc>
        <w:tc>
          <w:tcPr>
            <w:tcW w:w="1559" w:type="dxa"/>
          </w:tcPr>
          <w:p w14:paraId="115889CA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4.41-7.20</w:t>
            </w:r>
          </w:p>
        </w:tc>
        <w:tc>
          <w:tcPr>
            <w:tcW w:w="1560" w:type="dxa"/>
          </w:tcPr>
          <w:p w14:paraId="0CAACFB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7.21-11.60</w:t>
            </w:r>
          </w:p>
        </w:tc>
        <w:tc>
          <w:tcPr>
            <w:tcW w:w="1701" w:type="dxa"/>
          </w:tcPr>
          <w:p w14:paraId="0FEE93D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11.61-16-60</w:t>
            </w:r>
          </w:p>
        </w:tc>
        <w:tc>
          <w:tcPr>
            <w:tcW w:w="1553" w:type="dxa"/>
          </w:tcPr>
          <w:p w14:paraId="4EA97C9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≥16.61</w:t>
            </w:r>
          </w:p>
        </w:tc>
      </w:tr>
      <w:tr w:rsidR="0096380B" w:rsidRPr="003827C0" w14:paraId="5556F1A8" w14:textId="77777777" w:rsidTr="006A7FB6">
        <w:tc>
          <w:tcPr>
            <w:tcW w:w="704" w:type="dxa"/>
            <w:vMerge w:val="restart"/>
          </w:tcPr>
          <w:p w14:paraId="1D250D2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851" w:type="dxa"/>
          </w:tcPr>
          <w:p w14:paraId="31757D6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0358F77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≤4.00</w:t>
            </w:r>
          </w:p>
        </w:tc>
        <w:tc>
          <w:tcPr>
            <w:tcW w:w="1559" w:type="dxa"/>
          </w:tcPr>
          <w:p w14:paraId="071B682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4.01-6.80</w:t>
            </w:r>
          </w:p>
        </w:tc>
        <w:tc>
          <w:tcPr>
            <w:tcW w:w="1560" w:type="dxa"/>
          </w:tcPr>
          <w:p w14:paraId="41776FAB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6.81-11.60</w:t>
            </w:r>
          </w:p>
        </w:tc>
        <w:tc>
          <w:tcPr>
            <w:tcW w:w="1701" w:type="dxa"/>
          </w:tcPr>
          <w:p w14:paraId="1E03C23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11.61-15.20</w:t>
            </w:r>
          </w:p>
        </w:tc>
        <w:tc>
          <w:tcPr>
            <w:tcW w:w="1553" w:type="dxa"/>
          </w:tcPr>
          <w:p w14:paraId="113FBD8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≥15.21</w:t>
            </w:r>
          </w:p>
        </w:tc>
      </w:tr>
      <w:tr w:rsidR="0096380B" w:rsidRPr="003827C0" w14:paraId="5C6A6FB1" w14:textId="77777777" w:rsidTr="006A7FB6">
        <w:tc>
          <w:tcPr>
            <w:tcW w:w="704" w:type="dxa"/>
            <w:vMerge/>
          </w:tcPr>
          <w:p w14:paraId="03819F6A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CD4FC5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4579FD20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≤4.40</w:t>
            </w:r>
          </w:p>
        </w:tc>
        <w:tc>
          <w:tcPr>
            <w:tcW w:w="1559" w:type="dxa"/>
          </w:tcPr>
          <w:p w14:paraId="73F0962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4.01-6.80</w:t>
            </w:r>
          </w:p>
        </w:tc>
        <w:tc>
          <w:tcPr>
            <w:tcW w:w="1560" w:type="dxa"/>
          </w:tcPr>
          <w:p w14:paraId="6FBE4F94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6.81-11.60</w:t>
            </w:r>
          </w:p>
        </w:tc>
        <w:tc>
          <w:tcPr>
            <w:tcW w:w="1701" w:type="dxa"/>
          </w:tcPr>
          <w:p w14:paraId="72FFDE1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11.61-16.40</w:t>
            </w:r>
          </w:p>
        </w:tc>
        <w:tc>
          <w:tcPr>
            <w:tcW w:w="1553" w:type="dxa"/>
          </w:tcPr>
          <w:p w14:paraId="5CF920C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≥16.41</w:t>
            </w:r>
          </w:p>
        </w:tc>
      </w:tr>
      <w:tr w:rsidR="0096380B" w:rsidRPr="003827C0" w14:paraId="7861C300" w14:textId="77777777" w:rsidTr="006A7FB6">
        <w:tc>
          <w:tcPr>
            <w:tcW w:w="704" w:type="dxa"/>
            <w:vMerge w:val="restart"/>
          </w:tcPr>
          <w:p w14:paraId="7A4BC27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851" w:type="dxa"/>
          </w:tcPr>
          <w:p w14:paraId="4771833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68C493C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≤3.20</w:t>
            </w:r>
          </w:p>
        </w:tc>
        <w:tc>
          <w:tcPr>
            <w:tcW w:w="1559" w:type="dxa"/>
          </w:tcPr>
          <w:p w14:paraId="5866F4B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3.21-6.40</w:t>
            </w:r>
          </w:p>
        </w:tc>
        <w:tc>
          <w:tcPr>
            <w:tcW w:w="1560" w:type="dxa"/>
          </w:tcPr>
          <w:p w14:paraId="00C7EBA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6.41-11.60</w:t>
            </w:r>
          </w:p>
        </w:tc>
        <w:tc>
          <w:tcPr>
            <w:tcW w:w="1701" w:type="dxa"/>
          </w:tcPr>
          <w:p w14:paraId="10A7215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11.61-16.40</w:t>
            </w:r>
          </w:p>
        </w:tc>
        <w:tc>
          <w:tcPr>
            <w:tcW w:w="1553" w:type="dxa"/>
          </w:tcPr>
          <w:p w14:paraId="76B77DCB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≥16.41</w:t>
            </w:r>
          </w:p>
        </w:tc>
      </w:tr>
      <w:tr w:rsidR="0096380B" w:rsidRPr="003827C0" w14:paraId="3A6D5349" w14:textId="77777777" w:rsidTr="006A7FB6">
        <w:tc>
          <w:tcPr>
            <w:tcW w:w="704" w:type="dxa"/>
            <w:vMerge/>
          </w:tcPr>
          <w:p w14:paraId="5982CEF5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A4A85D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67FE489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≤3.20</w:t>
            </w:r>
          </w:p>
        </w:tc>
        <w:tc>
          <w:tcPr>
            <w:tcW w:w="1559" w:type="dxa"/>
          </w:tcPr>
          <w:p w14:paraId="21340334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3.21-6.80</w:t>
            </w:r>
          </w:p>
        </w:tc>
        <w:tc>
          <w:tcPr>
            <w:tcW w:w="1560" w:type="dxa"/>
          </w:tcPr>
          <w:p w14:paraId="636BB1C3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6.81-11.20</w:t>
            </w:r>
          </w:p>
        </w:tc>
        <w:tc>
          <w:tcPr>
            <w:tcW w:w="1701" w:type="dxa"/>
          </w:tcPr>
          <w:p w14:paraId="358F77C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11.21-16.80</w:t>
            </w:r>
          </w:p>
        </w:tc>
        <w:tc>
          <w:tcPr>
            <w:tcW w:w="1553" w:type="dxa"/>
          </w:tcPr>
          <w:p w14:paraId="5BF3FE3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≥16.81</w:t>
            </w:r>
          </w:p>
        </w:tc>
      </w:tr>
      <w:tr w:rsidR="0096380B" w:rsidRPr="00C35519" w14:paraId="6C29A72E" w14:textId="77777777" w:rsidTr="006A7FB6">
        <w:tc>
          <w:tcPr>
            <w:tcW w:w="704" w:type="dxa"/>
            <w:vMerge w:val="restart"/>
          </w:tcPr>
          <w:p w14:paraId="0F20EB4B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851" w:type="dxa"/>
          </w:tcPr>
          <w:p w14:paraId="7CEF529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043F78F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≤4.00</w:t>
            </w:r>
          </w:p>
        </w:tc>
        <w:tc>
          <w:tcPr>
            <w:tcW w:w="1559" w:type="dxa"/>
          </w:tcPr>
          <w:p w14:paraId="121071FA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4.01-6.80</w:t>
            </w:r>
          </w:p>
        </w:tc>
        <w:tc>
          <w:tcPr>
            <w:tcW w:w="1560" w:type="dxa"/>
          </w:tcPr>
          <w:p w14:paraId="1BF139E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6.81-10.40</w:t>
            </w:r>
          </w:p>
        </w:tc>
        <w:tc>
          <w:tcPr>
            <w:tcW w:w="1701" w:type="dxa"/>
          </w:tcPr>
          <w:p w14:paraId="1047CBC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10.41-15.20</w:t>
            </w:r>
          </w:p>
        </w:tc>
        <w:tc>
          <w:tcPr>
            <w:tcW w:w="1553" w:type="dxa"/>
          </w:tcPr>
          <w:p w14:paraId="2D608DB8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≥15.21</w:t>
            </w:r>
          </w:p>
        </w:tc>
      </w:tr>
      <w:tr w:rsidR="0096380B" w:rsidRPr="00C35519" w14:paraId="589F114E" w14:textId="77777777" w:rsidTr="006A7FB6">
        <w:tc>
          <w:tcPr>
            <w:tcW w:w="704" w:type="dxa"/>
            <w:vMerge/>
          </w:tcPr>
          <w:p w14:paraId="14FF79AA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EB1C3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01A733D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≤3.60</w:t>
            </w:r>
          </w:p>
        </w:tc>
        <w:tc>
          <w:tcPr>
            <w:tcW w:w="1559" w:type="dxa"/>
          </w:tcPr>
          <w:p w14:paraId="067BA2B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3.61-7.20</w:t>
            </w:r>
          </w:p>
        </w:tc>
        <w:tc>
          <w:tcPr>
            <w:tcW w:w="1560" w:type="dxa"/>
          </w:tcPr>
          <w:p w14:paraId="501EB68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7.21-11.80</w:t>
            </w:r>
          </w:p>
        </w:tc>
        <w:tc>
          <w:tcPr>
            <w:tcW w:w="1701" w:type="dxa"/>
          </w:tcPr>
          <w:p w14:paraId="454E23A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11.81-15.20</w:t>
            </w:r>
          </w:p>
        </w:tc>
        <w:tc>
          <w:tcPr>
            <w:tcW w:w="1553" w:type="dxa"/>
          </w:tcPr>
          <w:p w14:paraId="61BADC37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≥15.21</w:t>
            </w:r>
          </w:p>
        </w:tc>
      </w:tr>
      <w:tr w:rsidR="0096380B" w:rsidRPr="00C35519" w14:paraId="3899061C" w14:textId="77777777" w:rsidTr="006A7FB6">
        <w:tc>
          <w:tcPr>
            <w:tcW w:w="704" w:type="dxa"/>
            <w:vMerge w:val="restart"/>
          </w:tcPr>
          <w:p w14:paraId="6967C9A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851" w:type="dxa"/>
          </w:tcPr>
          <w:p w14:paraId="4DB10B13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1C02C334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≤3.40</w:t>
            </w:r>
          </w:p>
        </w:tc>
        <w:tc>
          <w:tcPr>
            <w:tcW w:w="1559" w:type="dxa"/>
          </w:tcPr>
          <w:p w14:paraId="31075990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3.41-6.80</w:t>
            </w:r>
          </w:p>
        </w:tc>
        <w:tc>
          <w:tcPr>
            <w:tcW w:w="1560" w:type="dxa"/>
          </w:tcPr>
          <w:p w14:paraId="0203C195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6.81-11.20</w:t>
            </w:r>
          </w:p>
        </w:tc>
        <w:tc>
          <w:tcPr>
            <w:tcW w:w="1701" w:type="dxa"/>
          </w:tcPr>
          <w:p w14:paraId="6526238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11.21-16.60</w:t>
            </w:r>
          </w:p>
        </w:tc>
        <w:tc>
          <w:tcPr>
            <w:tcW w:w="1553" w:type="dxa"/>
          </w:tcPr>
          <w:p w14:paraId="032EE1C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≥16.61</w:t>
            </w:r>
          </w:p>
        </w:tc>
      </w:tr>
      <w:tr w:rsidR="0096380B" w:rsidRPr="00C35519" w14:paraId="438A94D4" w14:textId="77777777" w:rsidTr="006A7FB6">
        <w:tc>
          <w:tcPr>
            <w:tcW w:w="704" w:type="dxa"/>
            <w:vMerge/>
          </w:tcPr>
          <w:p w14:paraId="618C201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B7DA83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4346AA5B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≤4.40</w:t>
            </w:r>
          </w:p>
        </w:tc>
        <w:tc>
          <w:tcPr>
            <w:tcW w:w="1559" w:type="dxa"/>
          </w:tcPr>
          <w:p w14:paraId="09024BF0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4.41-9.20</w:t>
            </w:r>
          </w:p>
        </w:tc>
        <w:tc>
          <w:tcPr>
            <w:tcW w:w="1560" w:type="dxa"/>
          </w:tcPr>
          <w:p w14:paraId="3827F8BA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9.21-15.60</w:t>
            </w:r>
          </w:p>
        </w:tc>
        <w:tc>
          <w:tcPr>
            <w:tcW w:w="1701" w:type="dxa"/>
          </w:tcPr>
          <w:p w14:paraId="707DB66F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15.61-19.30</w:t>
            </w:r>
          </w:p>
        </w:tc>
        <w:tc>
          <w:tcPr>
            <w:tcW w:w="1553" w:type="dxa"/>
          </w:tcPr>
          <w:p w14:paraId="21CCA960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≥19.31</w:t>
            </w:r>
          </w:p>
        </w:tc>
      </w:tr>
      <w:tr w:rsidR="0096380B" w14:paraId="63E45B28" w14:textId="77777777" w:rsidTr="006A7FB6">
        <w:tc>
          <w:tcPr>
            <w:tcW w:w="704" w:type="dxa"/>
            <w:vMerge w:val="restart"/>
          </w:tcPr>
          <w:p w14:paraId="367C5166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851" w:type="dxa"/>
          </w:tcPr>
          <w:p w14:paraId="5A4B7B5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14:paraId="1CC8794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≤3.40</w:t>
            </w:r>
          </w:p>
        </w:tc>
        <w:tc>
          <w:tcPr>
            <w:tcW w:w="1559" w:type="dxa"/>
          </w:tcPr>
          <w:p w14:paraId="51E242A2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3.41-7.20</w:t>
            </w:r>
          </w:p>
        </w:tc>
        <w:tc>
          <w:tcPr>
            <w:tcW w:w="1560" w:type="dxa"/>
          </w:tcPr>
          <w:p w14:paraId="70231B83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7.21-13.20</w:t>
            </w:r>
          </w:p>
        </w:tc>
        <w:tc>
          <w:tcPr>
            <w:tcW w:w="1701" w:type="dxa"/>
          </w:tcPr>
          <w:p w14:paraId="0DE3688E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13.21-16.50</w:t>
            </w:r>
          </w:p>
        </w:tc>
        <w:tc>
          <w:tcPr>
            <w:tcW w:w="1553" w:type="dxa"/>
          </w:tcPr>
          <w:p w14:paraId="682EBBB7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≥16.51</w:t>
            </w:r>
          </w:p>
        </w:tc>
      </w:tr>
      <w:tr w:rsidR="0096380B" w14:paraId="5450CCE6" w14:textId="77777777" w:rsidTr="006A7FB6">
        <w:tc>
          <w:tcPr>
            <w:tcW w:w="704" w:type="dxa"/>
            <w:vMerge/>
          </w:tcPr>
          <w:p w14:paraId="4A89FB27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74D70B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1417" w:type="dxa"/>
          </w:tcPr>
          <w:p w14:paraId="5F6A8C99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≤5.40</w:t>
            </w:r>
          </w:p>
        </w:tc>
        <w:tc>
          <w:tcPr>
            <w:tcW w:w="1559" w:type="dxa"/>
          </w:tcPr>
          <w:p w14:paraId="15A0ADFD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5.41-9.00</w:t>
            </w:r>
          </w:p>
        </w:tc>
        <w:tc>
          <w:tcPr>
            <w:tcW w:w="1560" w:type="dxa"/>
          </w:tcPr>
          <w:p w14:paraId="503F85A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9.01-15.20</w:t>
            </w:r>
          </w:p>
        </w:tc>
        <w:tc>
          <w:tcPr>
            <w:tcW w:w="1701" w:type="dxa"/>
          </w:tcPr>
          <w:p w14:paraId="2FF7EB41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15.21-21.40</w:t>
            </w:r>
          </w:p>
        </w:tc>
        <w:tc>
          <w:tcPr>
            <w:tcW w:w="1553" w:type="dxa"/>
          </w:tcPr>
          <w:p w14:paraId="5508F94C" w14:textId="77777777" w:rsidR="0096380B" w:rsidRPr="00DE39BB" w:rsidRDefault="0096380B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9BB">
              <w:rPr>
                <w:rFonts w:ascii="Times New Roman" w:hAnsi="Times New Roman" w:cs="Times New Roman"/>
                <w:lang w:val="ru-RU"/>
              </w:rPr>
              <w:t>≥21.41</w:t>
            </w:r>
          </w:p>
        </w:tc>
      </w:tr>
    </w:tbl>
    <w:p w14:paraId="3AD169CC" w14:textId="77777777" w:rsidR="0096380B" w:rsidRPr="00A2432B" w:rsidRDefault="0096380B" w:rsidP="0096380B">
      <w:pPr>
        <w:spacing w:line="360" w:lineRule="auto"/>
        <w:rPr>
          <w:rFonts w:ascii="Times New Roman" w:eastAsia="TimesNew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ru-RU"/>
        </w:rPr>
        <w:t>Примітка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- *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ru-RU"/>
        </w:rPr>
        <w:t>фізичне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ru-RU"/>
        </w:rPr>
        <w:t>обсязі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20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ru-RU"/>
        </w:rPr>
        <w:t>присідань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за 45 сек.</w:t>
      </w:r>
    </w:p>
    <w:bookmarkEnd w:id="5"/>
    <w:p w14:paraId="0ED49393" w14:textId="1EEF9CE0" w:rsidR="0096380B" w:rsidRPr="00975BD5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функціонально-резервних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FE660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п’яти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градацій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FE660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6E516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</w:t>
      </w:r>
      <w:r w:rsidR="006E516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добрий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нижче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1A557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</w:t>
      </w:r>
      <w:r w:rsidR="001A557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задовільний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Pr="00FE660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Одержані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оцінюються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таблицею </w:t>
      </w:r>
      <w:r w:rsidR="001A557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3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розроблена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основі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центильного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методу з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C2E276D" w14:textId="77777777" w:rsidR="0096380B" w:rsidRPr="00975BD5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5B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Приклад</w:t>
      </w:r>
      <w:r w:rsidRPr="00975BD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Руф’є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дівчинки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зареєстровано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ЧСС: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спокою (ЧСС</w:t>
      </w:r>
      <w:r w:rsidRPr="00975BD5">
        <w:rPr>
          <w:rFonts w:ascii="Times New Roman" w:eastAsia="TimesNewRoman" w:hAnsi="Times New Roman" w:cs="Times New Roman"/>
          <w:color w:val="000000"/>
          <w:sz w:val="20"/>
          <w:szCs w:val="20"/>
        </w:rPr>
        <w:t>1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16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ударів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15 секунд,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перші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секунд (ЧСС</w:t>
      </w:r>
      <w:r w:rsidRPr="00975BD5">
        <w:rPr>
          <w:rFonts w:ascii="Times New Roman" w:eastAsia="TimesNewRoman" w:hAnsi="Times New Roman" w:cs="Times New Roman"/>
          <w:color w:val="000000"/>
          <w:sz w:val="20"/>
          <w:szCs w:val="20"/>
        </w:rPr>
        <w:t>2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30 уд., за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секунд (ЧСС</w:t>
      </w:r>
      <w:r w:rsidRPr="00975BD5">
        <w:rPr>
          <w:rFonts w:ascii="Times New Roman" w:eastAsia="TimesNewRoman" w:hAnsi="Times New Roman" w:cs="Times New Roman"/>
          <w:color w:val="000000"/>
          <w:sz w:val="20"/>
          <w:szCs w:val="20"/>
        </w:rPr>
        <w:t>3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) – 23 уд.</w:t>
      </w:r>
    </w:p>
    <w:p w14:paraId="61AB3CD7" w14:textId="77777777" w:rsidR="0096380B" w:rsidRPr="00975BD5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Використовуючи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формулу проведено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Руф’є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0149DF72" w14:textId="77777777" w:rsidR="0096380B" w:rsidRPr="00975BD5" w:rsidRDefault="0096380B" w:rsidP="00963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</w:pPr>
      <w:r w:rsidRPr="00975BD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ІР </w:t>
      </w:r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>= [4 (16+30+23) - 200</w:t>
      </w:r>
      <w:proofErr w:type="gramStart"/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>] :</w:t>
      </w:r>
      <w:proofErr w:type="gramEnd"/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 xml:space="preserve"> 10 = 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7,6 </w:t>
      </w:r>
      <w:r w:rsidRPr="00975BD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бала</w:t>
      </w:r>
    </w:p>
    <w:p w14:paraId="0A0DDC01" w14:textId="77777777" w:rsidR="0096380B" w:rsidRPr="00975BD5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дівчинка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функціонально-резервних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0BDBFB2" w14:textId="77777777" w:rsidR="0096380B" w:rsidRPr="00975BD5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заносять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протоколу</w:t>
      </w:r>
      <w:proofErr w:type="gram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A6FF0E3" w14:textId="77777777" w:rsidR="0096380B" w:rsidRPr="00975BD5" w:rsidRDefault="0096380B" w:rsidP="00963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Отже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здійснити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діагностичну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й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прогностичну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вельми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занять з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спорту.</w:t>
      </w:r>
    </w:p>
    <w:p w14:paraId="5822E1A2" w14:textId="77777777" w:rsidR="00AE3A7E" w:rsidRDefault="00AE3A7E" w:rsidP="00AE3A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CDC0E85" w14:textId="5339A7C1" w:rsidR="00AE3A7E" w:rsidRPr="00AE3A7E" w:rsidRDefault="00AE3A7E" w:rsidP="00AE3A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Питання</w:t>
      </w:r>
      <w:proofErr w:type="spellEnd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контролю </w:t>
      </w:r>
      <w:proofErr w:type="spellStart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засвоєння</w:t>
      </w:r>
      <w:proofErr w:type="spellEnd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знань</w:t>
      </w:r>
      <w:proofErr w:type="spellEnd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</w:p>
    <w:p w14:paraId="5264285D" w14:textId="4C3448DC" w:rsidR="00AE3A7E" w:rsidRPr="00AE3A7E" w:rsidRDefault="00AE3A7E" w:rsidP="00AE3A7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Надайте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характеристику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функціональним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пробам з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76D5F7C" w14:textId="3C675140" w:rsidR="00AE3A7E" w:rsidRPr="00AE3A7E" w:rsidRDefault="00AE3A7E" w:rsidP="00AE3A7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Методика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Мартіне-Кушелевського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9F500DF" w14:textId="70267CAF" w:rsidR="00AE3A7E" w:rsidRPr="00AE3A7E" w:rsidRDefault="00AE3A7E" w:rsidP="00AE3A7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Назвіть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типи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С.П.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Летуновим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72F4945" w14:textId="30908748" w:rsidR="00AE3A7E" w:rsidRPr="00AE3A7E" w:rsidRDefault="00AE3A7E" w:rsidP="00AE3A7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Зазначте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типи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AE3A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схемою Клочкова.</w:t>
      </w:r>
    </w:p>
    <w:p w14:paraId="0887422F" w14:textId="77777777" w:rsidR="0096380B" w:rsidRDefault="0096380B"/>
    <w:sectPr w:rsidR="0096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422"/>
    <w:multiLevelType w:val="hybridMultilevel"/>
    <w:tmpl w:val="6480F638"/>
    <w:lvl w:ilvl="0" w:tplc="21588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E2A8D"/>
    <w:multiLevelType w:val="hybridMultilevel"/>
    <w:tmpl w:val="EEFCBA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01597"/>
    <w:multiLevelType w:val="hybridMultilevel"/>
    <w:tmpl w:val="C304FE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9768">
    <w:abstractNumId w:val="0"/>
  </w:num>
  <w:num w:numId="2" w16cid:durableId="1034234461">
    <w:abstractNumId w:val="1"/>
  </w:num>
  <w:num w:numId="3" w16cid:durableId="2071925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0B"/>
    <w:rsid w:val="000476AE"/>
    <w:rsid w:val="001372AB"/>
    <w:rsid w:val="0018097B"/>
    <w:rsid w:val="001857F8"/>
    <w:rsid w:val="001A557A"/>
    <w:rsid w:val="001E56EE"/>
    <w:rsid w:val="002D656E"/>
    <w:rsid w:val="002E3063"/>
    <w:rsid w:val="002F4A75"/>
    <w:rsid w:val="004746D3"/>
    <w:rsid w:val="004A31C7"/>
    <w:rsid w:val="0052769C"/>
    <w:rsid w:val="005E0BB6"/>
    <w:rsid w:val="006C2933"/>
    <w:rsid w:val="006D6B28"/>
    <w:rsid w:val="006E5163"/>
    <w:rsid w:val="007E3D92"/>
    <w:rsid w:val="00817D48"/>
    <w:rsid w:val="0096380B"/>
    <w:rsid w:val="00AC35AF"/>
    <w:rsid w:val="00AE3A7E"/>
    <w:rsid w:val="00B31B55"/>
    <w:rsid w:val="00DE39BB"/>
    <w:rsid w:val="00E46537"/>
    <w:rsid w:val="00F001B4"/>
    <w:rsid w:val="00F12E1A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DA02"/>
  <w15:chartTrackingRefBased/>
  <w15:docId w15:val="{CC789817-9FFF-442F-9BDC-1625EDDD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80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80B"/>
    <w:pPr>
      <w:ind w:left="720"/>
      <w:contextualSpacing/>
    </w:pPr>
  </w:style>
  <w:style w:type="table" w:styleId="a4">
    <w:name w:val="Table Grid"/>
    <w:basedOn w:val="a1"/>
    <w:uiPriority w:val="39"/>
    <w:rsid w:val="009638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16</cp:revision>
  <dcterms:created xsi:type="dcterms:W3CDTF">2023-07-24T08:59:00Z</dcterms:created>
  <dcterms:modified xsi:type="dcterms:W3CDTF">2023-11-01T16:39:00Z</dcterms:modified>
</cp:coreProperties>
</file>