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FB7E" w14:textId="4486C7BA" w:rsidR="00AE4933" w:rsidRPr="00A23E69" w:rsidRDefault="00AE4933" w:rsidP="007E57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4.</w:t>
      </w:r>
    </w:p>
    <w:p w14:paraId="66EFD495" w14:textId="3B92BC4C" w:rsidR="00AE4933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r w:rsidRPr="00A23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 </w:t>
      </w:r>
      <w:r w:rsidR="008827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ПРОВЕДЕННЯ ТА </w:t>
      </w:r>
      <w:r w:rsidRPr="00A23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ОЦІНКИ ФУНКЦІОНАЛЬНИХ</w:t>
      </w:r>
      <w:r w:rsidR="008827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19BB40BB" w14:textId="77777777" w:rsidR="00AE4933" w:rsidRDefault="00AE4933" w:rsidP="00AE4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14:paraId="3FAF0F4A" w14:textId="77777777" w:rsidR="00AE4933" w:rsidRPr="00243A73" w:rsidRDefault="00AE4933" w:rsidP="00AE493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</w:t>
      </w:r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39EA5D0E" w14:textId="77777777" w:rsidR="00AE4933" w:rsidRPr="00243A73" w:rsidRDefault="00AE4933" w:rsidP="00AE493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</w:t>
      </w:r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6F00AD63" w14:textId="07F69050" w:rsidR="00AE4933" w:rsidRPr="00243A73" w:rsidRDefault="00AE4933" w:rsidP="00AE493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затримкою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08089DDD" w14:textId="77777777" w:rsidR="00AE4933" w:rsidRPr="00243A73" w:rsidRDefault="00AE4933" w:rsidP="00AE493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зміною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</w:rPr>
        <w:t>просторі</w:t>
      </w:r>
      <w:proofErr w:type="spellEnd"/>
      <w:r w:rsidRPr="00243A7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44A8E520" w14:textId="77777777" w:rsidR="00AE4933" w:rsidRDefault="00AE4933" w:rsidP="00AE493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20E2DA" w14:textId="72C32D2C" w:rsidR="00AE4933" w:rsidRPr="00AE4933" w:rsidRDefault="00AE4933" w:rsidP="00AE493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E4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</w:t>
      </w:r>
      <w:proofErr w:type="spellEnd"/>
      <w:r w:rsidRPr="00AE49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AE49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5ABA421" w14:textId="77777777" w:rsidR="00AE4933" w:rsidRPr="00A07D91" w:rsidRDefault="00AE4933" w:rsidP="003902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67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  <w:r w:rsidRPr="00A07D91">
        <w:rPr>
          <w:rFonts w:ascii="TimesNewRoman" w:eastAsia="TimesNewRoman" w:hAnsi="TimesNewRoman,Bold" w:cs="TimesNewRoman"/>
          <w:color w:val="000000"/>
          <w:sz w:val="28"/>
          <w:szCs w:val="28"/>
        </w:rPr>
        <w:t xml:space="preserve">.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Абрамов В. В.,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Клапчук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В.,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Неханевич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О. Б. [та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ін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.]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спортивна медицина: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підручник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студ.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вищих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мед.навч</w:t>
      </w:r>
      <w:proofErr w:type="spellEnd"/>
      <w:proofErr w:type="gram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; за ред. В. В. Абрамова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О. Л.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Смирнової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Дніпропетровськ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Журфонд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2014. 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456 с.</w:t>
      </w:r>
    </w:p>
    <w:p w14:paraId="64C46525" w14:textId="77777777" w:rsidR="00AE4933" w:rsidRPr="00A07D91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2. Апанасенко Г. Л.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ний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озвиток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тей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п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ілі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тк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1459C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К.: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1985.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80 с.</w:t>
      </w:r>
    </w:p>
    <w:p w14:paraId="5D693081" w14:textId="77777777" w:rsidR="00AE4933" w:rsidRPr="00D251F9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3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Лутай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М. І.,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Дорогий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А. П.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Захворюваність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смертність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хвороб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// Нова медицина. 2002. № 3.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С. 18–21.</w:t>
      </w:r>
      <w:r w:rsidRPr="00A07D91">
        <w:rPr>
          <w:rFonts w:ascii="Times New Roman" w:eastAsia="TimesNewRoman" w:hAnsi="Times New Roman" w:cs="Times New Roman"/>
          <w:color w:val="FFFFFF"/>
          <w:sz w:val="28"/>
          <w:szCs w:val="28"/>
        </w:rPr>
        <w:t>33</w:t>
      </w:r>
    </w:p>
    <w:p w14:paraId="2776AC91" w14:textId="77777777" w:rsidR="00AE4933" w:rsidRPr="00A07D91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4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Романчук О. П.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Лікарсько-педагогічний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оздоровчій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Одеса, 2010.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205 с.</w:t>
      </w:r>
    </w:p>
    <w:p w14:paraId="0EC6F924" w14:textId="77777777" w:rsidR="00AE4933" w:rsidRPr="00A07D91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5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Соколовський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В. С., Романова Н. О.,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Бондарєв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І. І.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Лікарський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ихованні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 Одеса, 2001.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93 с.</w:t>
      </w:r>
    </w:p>
    <w:p w14:paraId="025091FB" w14:textId="77777777" w:rsidR="00AE4933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6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Шаповалова </w:t>
      </w:r>
      <w:proofErr w:type="gram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В.А.</w:t>
      </w:r>
      <w:proofErr w:type="gram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Спортивна медицина і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фізична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</w:t>
      </w:r>
      <w:proofErr w:type="spellEnd"/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К.: Медицина, 2008.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248 с</w:t>
      </w:r>
    </w:p>
    <w:p w14:paraId="011782E9" w14:textId="77777777" w:rsidR="00AE4933" w:rsidRPr="00975BD5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C1EEEA" w14:textId="08A51A92" w:rsidR="00AE4933" w:rsidRPr="006C2E79" w:rsidRDefault="00AE4933" w:rsidP="00390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Правомірна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відповідальним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завданням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контролю. Для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тих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зумовлюють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пристосування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факторів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внутрішнього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зовнішнього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середовища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 умов</w:t>
      </w:r>
      <w:proofErr w:type="gram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життєдіяльності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різноманітні</w:t>
      </w:r>
      <w:proofErr w:type="spellEnd"/>
      <w:r w:rsidR="003902CC" w:rsidRPr="003902C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6C2E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14:paraId="66F78256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дозований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вплив</w:t>
      </w:r>
      <w:proofErr w:type="spellEnd"/>
      <w:r w:rsidRPr="006C2E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життєдіяльність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вони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6C2E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метою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органах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6C2E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системах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дію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подразників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0501CD8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Основною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діагностичною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стратегією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певного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дію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подразника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C6F711E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3A538642" w14:textId="699C3E88" w:rsidR="00AE4933" w:rsidRPr="00AE4933" w:rsidRDefault="00AE4933" w:rsidP="00AE493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Розкриття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штучно</w:t>
      </w:r>
      <w:r w:rsidRPr="00AE493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створених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умов,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змінюються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31525D35" w14:textId="725C5A7F" w:rsidR="00AE4933" w:rsidRPr="00AE4933" w:rsidRDefault="00AE4933" w:rsidP="00AE493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компенсаторних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 w:rsidRPr="00AE493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збільшенні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розумових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3FCE7BD1" w14:textId="53B9862F" w:rsidR="00AE4933" w:rsidRPr="00AE4933" w:rsidRDefault="00AE4933" w:rsidP="00AE493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прихованих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функціонуванні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6F70D84A" w14:textId="12AC1A43" w:rsidR="00AE4933" w:rsidRPr="00AE4933" w:rsidRDefault="00AE4933" w:rsidP="00AE493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Своєчасне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діагностування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толерантності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</w:p>
    <w:p w14:paraId="57268724" w14:textId="725904E1" w:rsidR="00AE4933" w:rsidRPr="00AE4933" w:rsidRDefault="00AE4933" w:rsidP="00AE493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Прогнозування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можливого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серйозних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патологічних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заняттях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>різними</w:t>
      </w:r>
      <w:proofErr w:type="spellEnd"/>
      <w:r w:rsidRPr="00AE493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видами спорту.</w:t>
      </w:r>
    </w:p>
    <w:p w14:paraId="7C1B5E72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своєчасному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застосуванню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профілактичних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адекватної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корекції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ґ</w:t>
      </w:r>
      <w:r w:rsidRPr="00A23E69">
        <w:rPr>
          <w:rFonts w:ascii="Times New Roman" w:eastAsia="Yu Gothic" w:hAnsi="Times New Roman" w:cs="Times New Roman"/>
          <w:color w:val="000000"/>
          <w:sz w:val="28"/>
          <w:szCs w:val="28"/>
        </w:rPr>
        <w:t>рунтується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виявленні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ранніх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психофізичного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перенапруження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неадекватних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1032A9C" w14:textId="77777777" w:rsidR="00AE4933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Абсолютна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медико-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контролі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здійснювати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вплив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так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цілому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Повноцінне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ряду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валідних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різні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сторони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життєдіяльності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конкретних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вивчають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вплив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об’єктивними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проб.</w:t>
      </w:r>
    </w:p>
    <w:p w14:paraId="14183DC6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31866B6E" w14:textId="77777777" w:rsidR="00AE4933" w:rsidRPr="003B6C1C" w:rsidRDefault="00AE4933" w:rsidP="00AE493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Основні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вимоги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функціональних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проб</w:t>
      </w:r>
    </w:p>
    <w:p w14:paraId="0CD41CC0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Основною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вимогою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порівняльного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особи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динаміці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те,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запровадження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мусять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однотипними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стандартними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05FB7A9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,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цілком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безпечними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достатньо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інформативними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простими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доступними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не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вимагати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Бажано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щоб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забезпечували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включення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 роботу</w:t>
      </w:r>
      <w:proofErr w:type="gram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якомога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надавали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змогу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змінювати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межах.</w:t>
      </w:r>
    </w:p>
    <w:p w14:paraId="331593EE" w14:textId="77777777" w:rsidR="00AE4933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Більшість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проб, особливо з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потребують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вивчати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 та ступень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цьому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аналіз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характеру</w:t>
      </w:r>
      <w:r w:rsidRPr="00A23E69">
        <w:rPr>
          <w:rFonts w:ascii="Times New Roman" w:eastAsia="TimesNewRoman" w:hAnsi="Times New Roman" w:cs="Times New Roman"/>
          <w:color w:val="FFFFFF"/>
          <w:sz w:val="28"/>
          <w:szCs w:val="28"/>
        </w:rPr>
        <w:t>91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відновлюваного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повертаються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1FE3E68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5DD8DA84" w14:textId="77777777" w:rsidR="00AE4933" w:rsidRPr="003B6C1C" w:rsidRDefault="00AE4933" w:rsidP="00AE493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Методика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проведення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та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оцінка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функціональних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проб</w:t>
      </w:r>
    </w:p>
    <w:p w14:paraId="6343D79D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занять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вихованням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спортом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також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толерантності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зазначити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призводять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психоемоційного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активізації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нейроімуноендокринної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інтенсифікації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всіх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видів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метаболічних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пред’являються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 основною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функцією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постачання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кисню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харчових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тканин, а також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виведення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продуктів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обміну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накопичуються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CB37DD3" w14:textId="4BB7EF4C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вивчають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правило </w:t>
      </w:r>
      <w:proofErr w:type="gram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у першу</w:t>
      </w:r>
      <w:proofErr w:type="gram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чергу</w:t>
      </w:r>
      <w:proofErr w:type="spellEnd"/>
      <w:r w:rsidR="001073E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,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для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відносяться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(ЧСС)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(АТ), а також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похідні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них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параметри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простими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водночас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доступними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динаміки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Крім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того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увагу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колір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зовнішніх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покр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о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набряків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задишка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незначне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та АТ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психофізіологічного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Відомо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стать, стан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емоційний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статус,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добові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біоритми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прийом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алкоголю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кави,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нейротропних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паління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фактори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практиці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10, 15, 20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30 секунд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перерахуванням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за 1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CEECEAF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Характеристика ЧСС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здійснюватися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поширеного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пальпації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чином: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дослідник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проводить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вимір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правій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лівій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руці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нижній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частині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передпліччя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практично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зап'ястя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де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лежить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шкірою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паралельно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променевої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кістки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ближче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великого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пальця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Пульс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одним, 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кількома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пальцями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рук,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допомагає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швидше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точніше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варто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встановлювати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ритмічність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наповнення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повний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при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слабкого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наповнення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напруження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,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навіть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нитковидний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критичному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Характеристика пульсу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мірі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м'яза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еластичності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циркулюючої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фізико-хімічного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складу.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Ритмічність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інструментальними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методами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приладів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пульсометр,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пульсоксиметр,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електрокардіограф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ритмокардіограф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07BF0E9" w14:textId="77777777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Інструментальні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характеристики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пульсу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тільки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але й при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Hlk140665843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Нормальна ЧСС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спокої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60-89 </w:t>
      </w:r>
      <w:proofErr w:type="gram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ЧСС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менша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60 уд./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брадикардія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46-55 </w:t>
      </w:r>
      <w:proofErr w:type="gram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виявлятися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тренуються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витривалість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економізації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(при гарному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самопочутті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), в той час як ЧСС у таких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71 уд./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є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надмірною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аеробної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спрямованості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вихованні</w:t>
      </w:r>
      <w:proofErr w:type="spellEnd"/>
      <w:r w:rsidRPr="006C2E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також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сприяє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поступовому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зниженню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зазначити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відсутність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скарг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анамнезі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хвороби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розцінювати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брадикардії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результат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тонусу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блукаючого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нерва,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тренованості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Однак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займаються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брадикардія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виникати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 а також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ознакою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атріовентрикулярної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внутрішньопередсердної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провідності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слабкості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синусового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вузла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віком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нормативні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цілеспрямовано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займається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зменшуються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причому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верхня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нижня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межа,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старіння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внаслідок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еластичності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судин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призводять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діапазону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ЧСС. ЧСС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90 </w:t>
      </w:r>
      <w:proofErr w:type="gram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 (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тахікардія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),</w:t>
      </w:r>
      <w:r w:rsidRPr="00315F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характеристику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наслідком</w:t>
      </w:r>
      <w:proofErr w:type="spellEnd"/>
      <w:r w:rsidRPr="00315F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отриманого</w:t>
      </w:r>
      <w:proofErr w:type="spellEnd"/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попередньо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проявом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слабкості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78793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інтоксикації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ґ</w:t>
      </w:r>
      <w:r w:rsidRPr="00A23E69">
        <w:rPr>
          <w:rFonts w:ascii="Times New Roman" w:eastAsia="Yu Gothic" w:hAnsi="Times New Roman" w:cs="Times New Roman"/>
          <w:color w:val="000000"/>
          <w:sz w:val="28"/>
          <w:szCs w:val="28"/>
        </w:rPr>
        <w:t>енезу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тощо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Іноді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дихальна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аритмія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вповільнення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Така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аритмія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розцінюватися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фізіологічна</w:t>
      </w:r>
      <w:proofErr w:type="spellEnd"/>
      <w:r w:rsidRPr="00315F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рефлекторного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впливу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боку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рецепторів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легень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ядра</w:t>
      </w:r>
      <w:r w:rsidRPr="00315F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блукаючого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нерву (Х пара черепно-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мозкових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нервів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2DD5CC40" w14:textId="77777777" w:rsidR="00AE4933" w:rsidRPr="00E873BD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(АТ)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методом </w:t>
      </w:r>
      <w:proofErr w:type="gram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М.С.</w:t>
      </w:r>
      <w:proofErr w:type="gram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Короткова,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вимірювання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АТ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ліктьовій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тонометру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сфігмоманометру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Манжета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приладу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накладається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оголене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плече, за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груші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накачується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приблизно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gram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150-160</w:t>
      </w:r>
      <w:proofErr w:type="gram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випускають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повітря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швидкістю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./сек.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вислуховують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тони.</w:t>
      </w:r>
      <w:r w:rsidRPr="006C2E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Start w:id="1" w:name="_Hlk140666111"/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Поява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звуків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відповідає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АТ-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систолічному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а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зникнення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‒ АТ-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діастолічному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;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різниця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між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ними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називається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пульсовим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артеріальним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тиском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(ПАТ).</w:t>
      </w:r>
      <w:bookmarkEnd w:id="1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Величина </w:t>
      </w:r>
      <w:proofErr w:type="spellStart"/>
      <w:r w:rsidRPr="00E873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АТс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мірі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E873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силою </w:t>
      </w:r>
      <w:proofErr w:type="spellStart"/>
      <w:r w:rsidRPr="00E873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серцевого</w:t>
      </w:r>
      <w:proofErr w:type="spellEnd"/>
      <w:r w:rsidRPr="00E873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873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скорочення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E873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АТд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r w:rsidRPr="00E873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тонусом </w:t>
      </w:r>
      <w:proofErr w:type="spellStart"/>
      <w:r w:rsidRPr="00E873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судин</w:t>
      </w:r>
      <w:proofErr w:type="spellEnd"/>
      <w:r w:rsidRPr="00E873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7E09702A" w14:textId="26B6A2F4" w:rsidR="00AE4933" w:rsidRPr="00A23E69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На величину АТ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впливають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обсяг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інтенсивність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нейроендокринні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 стан водно-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сольового</w:t>
      </w:r>
      <w:proofErr w:type="spellEnd"/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обміну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зміна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просторі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психоемоційний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стан, час</w:t>
      </w:r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доби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паління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прийом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міцного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чаю, кави та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нейротропних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даними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ВООЗ для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віку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оптимальним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визначеним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методом Короткова, є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АТс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не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суттєво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нижчий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120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мм.рт.ст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 і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АТд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незначно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нижчий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за 80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мм.рт.ст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Реєстрація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в межах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більших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140/90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</w:t>
      </w:r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можливість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артеріальної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гіпертензії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</w:t>
      </w:r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межах </w:t>
      </w:r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140-149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мм.рт.ст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. та 90-99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мм.рт.ст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.,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таким,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визначає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наявність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даного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захворювання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Підвищення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АТ у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спокою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бути результатом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перевтоми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стрес-реактивності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або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пов'язано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такими</w:t>
      </w:r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атеросклероз,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артеріальна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гіпертонія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хронічний</w:t>
      </w:r>
      <w:proofErr w:type="spellEnd"/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нефрит. В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18E" w:rsidRPr="0095018E">
        <w:rPr>
          <w:rFonts w:ascii="Times New Roman" w:eastAsia="TimesNewRoman" w:hAnsi="Times New Roman" w:cs="Times New Roman"/>
          <w:color w:val="000000"/>
          <w:sz w:val="28"/>
          <w:szCs w:val="28"/>
        </w:rPr>
        <w:t>1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18E" w:rsidRPr="0095018E">
        <w:rPr>
          <w:rFonts w:ascii="Times New Roman" w:eastAsia="TimesNewRoman" w:hAnsi="Times New Roman" w:cs="Times New Roman"/>
          <w:color w:val="000000"/>
          <w:sz w:val="28"/>
          <w:szCs w:val="28"/>
        </w:rPr>
        <w:t>2</w:t>
      </w:r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представлено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градація</w:t>
      </w:r>
      <w:proofErr w:type="spellEnd"/>
      <w:r w:rsidRPr="00E873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класифікація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ступеню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артеріальної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гіпертонії</w:t>
      </w:r>
      <w:proofErr w:type="spellEnd"/>
      <w:r w:rsidRPr="00315F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згідно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даними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ВООЗ.</w:t>
      </w:r>
    </w:p>
    <w:p w14:paraId="4B20FA73" w14:textId="4FC1196E" w:rsidR="00AE4933" w:rsidRPr="0095018E" w:rsidRDefault="00AE4933" w:rsidP="003902CC">
      <w:pPr>
        <w:spacing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A23E6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18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1</w:t>
      </w:r>
    </w:p>
    <w:p w14:paraId="4B34E152" w14:textId="77777777" w:rsidR="00AE4933" w:rsidRDefault="00AE4933" w:rsidP="003902CC">
      <w:pPr>
        <w:spacing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6C2E79">
        <w:rPr>
          <w:rFonts w:ascii="Times New Roman" w:eastAsia="TimesNewRoman" w:hAnsi="Times New Roman" w:cs="Times New Roman"/>
          <w:sz w:val="28"/>
          <w:szCs w:val="28"/>
        </w:rPr>
        <w:t>Градація</w:t>
      </w:r>
      <w:proofErr w:type="spellEnd"/>
      <w:r w:rsidRPr="006C2E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C2E79">
        <w:rPr>
          <w:rFonts w:ascii="Times New Roman" w:eastAsia="TimesNewRoman" w:hAnsi="Times New Roman" w:cs="Times New Roman"/>
          <w:sz w:val="28"/>
          <w:szCs w:val="28"/>
        </w:rPr>
        <w:t>артеріального</w:t>
      </w:r>
      <w:proofErr w:type="spellEnd"/>
      <w:r w:rsidRPr="006C2E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C2E79">
        <w:rPr>
          <w:rFonts w:ascii="Times New Roman" w:eastAsia="TimesNewRoman" w:hAnsi="Times New Roman" w:cs="Times New Roman"/>
          <w:sz w:val="28"/>
          <w:szCs w:val="28"/>
        </w:rPr>
        <w:t>тиску</w:t>
      </w:r>
      <w:proofErr w:type="spellEnd"/>
      <w:r w:rsidRPr="006C2E7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6C2E79">
        <w:rPr>
          <w:rFonts w:ascii="Times New Roman" w:eastAsia="TimesNewRoman" w:hAnsi="Times New Roman" w:cs="Times New Roman"/>
          <w:sz w:val="28"/>
          <w:szCs w:val="28"/>
        </w:rPr>
        <w:t>осіб</w:t>
      </w:r>
      <w:proofErr w:type="spellEnd"/>
      <w:r w:rsidRPr="006C2E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C2E79">
        <w:rPr>
          <w:rFonts w:ascii="Times New Roman" w:eastAsia="TimesNewRoman" w:hAnsi="Times New Roman" w:cs="Times New Roman"/>
          <w:sz w:val="28"/>
          <w:szCs w:val="28"/>
        </w:rPr>
        <w:t>дорослого</w:t>
      </w:r>
      <w:proofErr w:type="spellEnd"/>
      <w:r w:rsidRPr="006C2E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C2E79">
        <w:rPr>
          <w:rFonts w:ascii="Times New Roman" w:eastAsia="TimesNewRoman" w:hAnsi="Times New Roman" w:cs="Times New Roman"/>
          <w:sz w:val="28"/>
          <w:szCs w:val="28"/>
        </w:rPr>
        <w:t>віку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4933" w:rsidRPr="00212FD8" w14:paraId="35AF4DB2" w14:textId="77777777" w:rsidTr="006A7FB6">
        <w:tc>
          <w:tcPr>
            <w:tcW w:w="3115" w:type="dxa"/>
          </w:tcPr>
          <w:p w14:paraId="46B4F4EF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Градації</w:t>
            </w:r>
            <w:proofErr w:type="spellEnd"/>
          </w:p>
        </w:tc>
        <w:tc>
          <w:tcPr>
            <w:tcW w:w="3115" w:type="dxa"/>
          </w:tcPr>
          <w:p w14:paraId="27254F1D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Систолічний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АТ, мм. рт.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</w:p>
        </w:tc>
        <w:tc>
          <w:tcPr>
            <w:tcW w:w="3115" w:type="dxa"/>
          </w:tcPr>
          <w:p w14:paraId="5D58E0A7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Діастолічний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АТ, мм. рт. ст.</w:t>
            </w:r>
          </w:p>
        </w:tc>
      </w:tr>
      <w:tr w:rsidR="00AE4933" w:rsidRPr="00212FD8" w14:paraId="073057C7" w14:textId="77777777" w:rsidTr="006A7FB6">
        <w:tc>
          <w:tcPr>
            <w:tcW w:w="3115" w:type="dxa"/>
          </w:tcPr>
          <w:p w14:paraId="21447624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Оптимальний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АТ</w:t>
            </w:r>
          </w:p>
        </w:tc>
        <w:tc>
          <w:tcPr>
            <w:tcW w:w="3115" w:type="dxa"/>
          </w:tcPr>
          <w:p w14:paraId="5A74F9B3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&lt;120</w:t>
            </w:r>
          </w:p>
        </w:tc>
        <w:tc>
          <w:tcPr>
            <w:tcW w:w="3115" w:type="dxa"/>
          </w:tcPr>
          <w:p w14:paraId="549C31D3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&lt;80</w:t>
            </w:r>
          </w:p>
        </w:tc>
      </w:tr>
      <w:tr w:rsidR="00AE4933" w:rsidRPr="00212FD8" w14:paraId="7AC00299" w14:textId="77777777" w:rsidTr="006A7FB6">
        <w:tc>
          <w:tcPr>
            <w:tcW w:w="3115" w:type="dxa"/>
          </w:tcPr>
          <w:p w14:paraId="64A424E3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lastRenderedPageBreak/>
              <w:t>Нормальний</w:t>
            </w:r>
            <w:proofErr w:type="spellEnd"/>
          </w:p>
        </w:tc>
        <w:tc>
          <w:tcPr>
            <w:tcW w:w="3115" w:type="dxa"/>
          </w:tcPr>
          <w:p w14:paraId="08281021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&lt;130</w:t>
            </w:r>
          </w:p>
        </w:tc>
        <w:tc>
          <w:tcPr>
            <w:tcW w:w="3115" w:type="dxa"/>
          </w:tcPr>
          <w:p w14:paraId="03FF788A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&lt;85</w:t>
            </w:r>
          </w:p>
        </w:tc>
      </w:tr>
      <w:tr w:rsidR="00AE4933" w:rsidRPr="00212FD8" w14:paraId="2DEEA31F" w14:textId="77777777" w:rsidTr="006A7FB6">
        <w:tc>
          <w:tcPr>
            <w:tcW w:w="3115" w:type="dxa"/>
          </w:tcPr>
          <w:p w14:paraId="333097D3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Підвищений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нормальний</w:t>
            </w:r>
            <w:proofErr w:type="spellEnd"/>
          </w:p>
        </w:tc>
        <w:tc>
          <w:tcPr>
            <w:tcW w:w="3115" w:type="dxa"/>
          </w:tcPr>
          <w:p w14:paraId="6A3D5763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130-139</w:t>
            </w:r>
          </w:p>
        </w:tc>
        <w:tc>
          <w:tcPr>
            <w:tcW w:w="3115" w:type="dxa"/>
          </w:tcPr>
          <w:p w14:paraId="4E4E53B8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85-89</w:t>
            </w:r>
          </w:p>
        </w:tc>
      </w:tr>
    </w:tbl>
    <w:p w14:paraId="2EFFAAA8" w14:textId="77777777" w:rsidR="003902CC" w:rsidRDefault="003902CC" w:rsidP="00AE4933">
      <w:pPr>
        <w:spacing w:line="360" w:lineRule="auto"/>
        <w:jc w:val="right"/>
        <w:rPr>
          <w:rFonts w:ascii="Times New Roman" w:eastAsia="TimesNewRoman" w:hAnsi="Times New Roman" w:cs="Times New Roman"/>
          <w:sz w:val="28"/>
          <w:szCs w:val="28"/>
          <w:lang w:val="ru-RU"/>
        </w:rPr>
      </w:pPr>
    </w:p>
    <w:p w14:paraId="1C7E2F1F" w14:textId="25EA5BFB" w:rsidR="003902CC" w:rsidRDefault="00AE4933" w:rsidP="003902CC">
      <w:pPr>
        <w:spacing w:line="240" w:lineRule="auto"/>
        <w:jc w:val="right"/>
        <w:rPr>
          <w:rFonts w:ascii="Times New Roman" w:eastAsia="TimesNew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NewRoman" w:hAnsi="Times New Roman" w:cs="Times New Roman"/>
          <w:sz w:val="28"/>
          <w:szCs w:val="28"/>
          <w:lang w:val="ru-RU"/>
        </w:rPr>
        <w:t>Таблиця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r w:rsidR="0095018E">
        <w:rPr>
          <w:rFonts w:ascii="Times New Roman" w:eastAsia="TimesNewRoman" w:hAnsi="Times New Roman" w:cs="Times New Roman"/>
          <w:sz w:val="28"/>
          <w:szCs w:val="28"/>
          <w:lang w:val="ru-RU"/>
        </w:rPr>
        <w:t>2</w:t>
      </w:r>
    </w:p>
    <w:p w14:paraId="6068E9C0" w14:textId="19B3A99A" w:rsidR="00AE4933" w:rsidRPr="003902CC" w:rsidRDefault="00AE4933" w:rsidP="003902CC">
      <w:pPr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val="ru-RU"/>
        </w:rPr>
      </w:pPr>
      <w:proofErr w:type="spellStart"/>
      <w:r w:rsidRPr="002C5397">
        <w:rPr>
          <w:rFonts w:ascii="Times New Roman" w:eastAsia="TimesNewRoman" w:hAnsi="Times New Roman" w:cs="Times New Roman"/>
          <w:sz w:val="28"/>
          <w:szCs w:val="28"/>
        </w:rPr>
        <w:t>Класифікація</w:t>
      </w:r>
      <w:proofErr w:type="spellEnd"/>
      <w:r w:rsidRPr="002C539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2C5397">
        <w:rPr>
          <w:rFonts w:ascii="Times New Roman" w:eastAsia="TimesNewRoman" w:hAnsi="Times New Roman" w:cs="Times New Roman"/>
          <w:sz w:val="28"/>
          <w:szCs w:val="28"/>
        </w:rPr>
        <w:t>ступеню</w:t>
      </w:r>
      <w:proofErr w:type="spellEnd"/>
      <w:r w:rsidRPr="002C539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2C5397">
        <w:rPr>
          <w:rFonts w:ascii="Times New Roman" w:eastAsia="TimesNewRoman" w:hAnsi="Times New Roman" w:cs="Times New Roman"/>
          <w:sz w:val="28"/>
          <w:szCs w:val="28"/>
        </w:rPr>
        <w:t>артеріальної</w:t>
      </w:r>
      <w:proofErr w:type="spellEnd"/>
      <w:r w:rsidRPr="002C539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2C5397">
        <w:rPr>
          <w:rFonts w:ascii="Times New Roman" w:eastAsia="TimesNewRoman" w:hAnsi="Times New Roman" w:cs="Times New Roman"/>
          <w:sz w:val="28"/>
          <w:szCs w:val="28"/>
        </w:rPr>
        <w:t>гіпертонії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E4933" w14:paraId="38BB4428" w14:textId="77777777" w:rsidTr="006A7FB6">
        <w:tc>
          <w:tcPr>
            <w:tcW w:w="3115" w:type="dxa"/>
          </w:tcPr>
          <w:p w14:paraId="33DC5FCA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Ступінь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гіпертонії</w:t>
            </w:r>
            <w:proofErr w:type="spellEnd"/>
          </w:p>
        </w:tc>
        <w:tc>
          <w:tcPr>
            <w:tcW w:w="3115" w:type="dxa"/>
          </w:tcPr>
          <w:p w14:paraId="28539795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Систолічний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АТ, мм. рт.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ст</w:t>
            </w:r>
            <w:proofErr w:type="spellEnd"/>
          </w:p>
        </w:tc>
        <w:tc>
          <w:tcPr>
            <w:tcW w:w="3115" w:type="dxa"/>
          </w:tcPr>
          <w:p w14:paraId="29EB08BF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Діастолічний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АТ, мм. рт. ст.</w:t>
            </w:r>
          </w:p>
        </w:tc>
      </w:tr>
      <w:tr w:rsidR="00AE4933" w:rsidRPr="00212FD8" w14:paraId="7DE6B0E1" w14:textId="77777777" w:rsidTr="006A7FB6">
        <w:tc>
          <w:tcPr>
            <w:tcW w:w="3115" w:type="dxa"/>
          </w:tcPr>
          <w:p w14:paraId="033271ED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Підгрупа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межі</w:t>
            </w:r>
            <w:proofErr w:type="spellEnd"/>
          </w:p>
        </w:tc>
        <w:tc>
          <w:tcPr>
            <w:tcW w:w="3115" w:type="dxa"/>
          </w:tcPr>
          <w:p w14:paraId="414937D6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140-149</w:t>
            </w:r>
          </w:p>
        </w:tc>
        <w:tc>
          <w:tcPr>
            <w:tcW w:w="3115" w:type="dxa"/>
          </w:tcPr>
          <w:p w14:paraId="30EFE310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90-94</w:t>
            </w:r>
          </w:p>
        </w:tc>
      </w:tr>
      <w:tr w:rsidR="00AE4933" w:rsidRPr="00212FD8" w14:paraId="7D724083" w14:textId="77777777" w:rsidTr="006A7FB6">
        <w:tc>
          <w:tcPr>
            <w:tcW w:w="3115" w:type="dxa"/>
          </w:tcPr>
          <w:p w14:paraId="161CA04D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Ступінь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1 (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м'яка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5" w:type="dxa"/>
          </w:tcPr>
          <w:p w14:paraId="633E677D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150-159</w:t>
            </w:r>
          </w:p>
        </w:tc>
        <w:tc>
          <w:tcPr>
            <w:tcW w:w="3115" w:type="dxa"/>
          </w:tcPr>
          <w:p w14:paraId="6C15051E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95-99</w:t>
            </w:r>
          </w:p>
        </w:tc>
      </w:tr>
      <w:tr w:rsidR="00AE4933" w:rsidRPr="00212FD8" w14:paraId="1805E745" w14:textId="77777777" w:rsidTr="006A7FB6">
        <w:tc>
          <w:tcPr>
            <w:tcW w:w="3115" w:type="dxa"/>
          </w:tcPr>
          <w:p w14:paraId="2321E218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Ступінь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2 (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помірна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5" w:type="dxa"/>
          </w:tcPr>
          <w:p w14:paraId="65EB79F9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160-179</w:t>
            </w:r>
          </w:p>
        </w:tc>
        <w:tc>
          <w:tcPr>
            <w:tcW w:w="3115" w:type="dxa"/>
          </w:tcPr>
          <w:p w14:paraId="15B33BB2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100-109</w:t>
            </w:r>
          </w:p>
        </w:tc>
      </w:tr>
      <w:tr w:rsidR="00AE4933" w:rsidRPr="00212FD8" w14:paraId="4038CC0E" w14:textId="77777777" w:rsidTr="006A7FB6">
        <w:tc>
          <w:tcPr>
            <w:tcW w:w="3115" w:type="dxa"/>
          </w:tcPr>
          <w:p w14:paraId="3586001C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Ступінь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3 (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важка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5" w:type="dxa"/>
          </w:tcPr>
          <w:p w14:paraId="70BEF4EE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&gt;180</w:t>
            </w:r>
          </w:p>
        </w:tc>
        <w:tc>
          <w:tcPr>
            <w:tcW w:w="3115" w:type="dxa"/>
          </w:tcPr>
          <w:p w14:paraId="68C74898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&gt;110</w:t>
            </w:r>
          </w:p>
        </w:tc>
      </w:tr>
      <w:tr w:rsidR="00AE4933" w:rsidRPr="00212FD8" w14:paraId="021723B5" w14:textId="77777777" w:rsidTr="006A7FB6">
        <w:tc>
          <w:tcPr>
            <w:tcW w:w="3115" w:type="dxa"/>
          </w:tcPr>
          <w:p w14:paraId="5DF910F2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Підгрупа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межі</w:t>
            </w:r>
            <w:proofErr w:type="spellEnd"/>
          </w:p>
        </w:tc>
        <w:tc>
          <w:tcPr>
            <w:tcW w:w="3115" w:type="dxa"/>
          </w:tcPr>
          <w:p w14:paraId="370C0847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140-149</w:t>
            </w:r>
          </w:p>
        </w:tc>
        <w:tc>
          <w:tcPr>
            <w:tcW w:w="3115" w:type="dxa"/>
          </w:tcPr>
          <w:p w14:paraId="63A66900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&lt;90</w:t>
            </w:r>
          </w:p>
        </w:tc>
      </w:tr>
      <w:tr w:rsidR="00AE4933" w:rsidRPr="00212FD8" w14:paraId="44933F11" w14:textId="77777777" w:rsidTr="006A7FB6">
        <w:tc>
          <w:tcPr>
            <w:tcW w:w="3115" w:type="dxa"/>
          </w:tcPr>
          <w:p w14:paraId="4CC19026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Ізольована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систолічна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гіпертонія</w:t>
            </w:r>
            <w:proofErr w:type="spellEnd"/>
          </w:p>
        </w:tc>
        <w:tc>
          <w:tcPr>
            <w:tcW w:w="3115" w:type="dxa"/>
          </w:tcPr>
          <w:p w14:paraId="38C3E0E4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&gt;140</w:t>
            </w:r>
          </w:p>
        </w:tc>
        <w:tc>
          <w:tcPr>
            <w:tcW w:w="3115" w:type="dxa"/>
          </w:tcPr>
          <w:p w14:paraId="4D976890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&lt;90</w:t>
            </w:r>
          </w:p>
        </w:tc>
      </w:tr>
    </w:tbl>
    <w:p w14:paraId="5FE75873" w14:textId="77777777" w:rsidR="00AE4933" w:rsidRDefault="00AE4933" w:rsidP="00AE49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9157C" w14:textId="77777777" w:rsidR="00AE4933" w:rsidRPr="000B1C81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Знижені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порівнянні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з нормою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>показники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АТ ‒ 100/60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>мм.рт.ст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. для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>чоловіків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і 95/60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>мм.рт.ст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. для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>жінок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є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>проявом</w:t>
      </w:r>
      <w:proofErr w:type="spellEnd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5F00">
        <w:rPr>
          <w:rFonts w:ascii="Times New Roman" w:eastAsia="TimesNewRoman" w:hAnsi="Times New Roman" w:cs="Times New Roman"/>
          <w:b/>
          <w:bCs/>
          <w:sz w:val="28"/>
          <w:szCs w:val="28"/>
        </w:rPr>
        <w:t>гіпотонії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, яка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бути при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постійних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тренуваннях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фізіологічною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(так звана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гіпотонія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високої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тренованості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чи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проявом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патологічних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процесів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, а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саме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: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гіпотонічної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хвороби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інтоксикації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вогнищ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хронічної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інфекції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каріозні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зуби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хронічний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тонзиліт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хронічний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холецистит).</w:t>
      </w:r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Гіпотонія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супроводжуються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скаргами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слабкість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стомлюваність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головний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біль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негативний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настрій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Крім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 того,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гіпотонія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6D742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спостерігається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при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тривалій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перевтомі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тобто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бути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наслідком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психофізичного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виснаження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особи.</w:t>
      </w:r>
    </w:p>
    <w:p w14:paraId="2DFA0A7E" w14:textId="77777777" w:rsidR="00AE4933" w:rsidRPr="000B1C81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Оцінку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діяльності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серцево-судинної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(ССС) у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стані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спокою просто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визначити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за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індексом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Робінсона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подвійним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добутком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),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який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на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інтегральному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рівні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визначає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ступінь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економізації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серцево-судинної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діяльності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людини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Розраховується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даний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індекс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наступним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чином:</w:t>
      </w:r>
    </w:p>
    <w:p w14:paraId="6C715272" w14:textId="77777777" w:rsidR="00AE4933" w:rsidRPr="00366635" w:rsidRDefault="00AE4933" w:rsidP="00AE4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  <w:lang w:val="ru-RU"/>
        </w:rPr>
      </w:pPr>
      <w:proofErr w:type="spellStart"/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>Індекс</w:t>
      </w:r>
      <w:proofErr w:type="spellEnd"/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>Робінсона</w:t>
      </w:r>
      <w:proofErr w:type="spellEnd"/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  <w:lang w:val="ru-RU"/>
        </w:rPr>
        <w:t>(</w:t>
      </w:r>
      <w:proofErr w:type="spellStart"/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>АТс</w:t>
      </w:r>
      <w:proofErr w:type="spellEnd"/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66635">
        <w:rPr>
          <w:rFonts w:ascii="Times New Roman" w:eastAsia="TimesNewRoman" w:hAnsi="Times New Roman" w:cs="Times New Roman"/>
          <w:b/>
          <w:bCs/>
          <w:sz w:val="28"/>
          <w:szCs w:val="28"/>
        </w:rPr>
        <w:t>×</w:t>
      </w:r>
      <w:r w:rsidRPr="00366635">
        <w:rPr>
          <w:rFonts w:ascii="Times New Roman" w:eastAsia="TimesNew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</w:rPr>
        <w:t>ЧСС</w:t>
      </w:r>
      <w:proofErr w:type="gramStart"/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  <w:lang w:val="ru-RU"/>
        </w:rPr>
        <w:t>) :</w:t>
      </w:r>
      <w:proofErr w:type="gramEnd"/>
      <w:r w:rsidRPr="00366635">
        <w:rPr>
          <w:rFonts w:ascii="Times New Roman" w:eastAsia="TimesNewRoman,Italic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366635">
        <w:rPr>
          <w:rFonts w:ascii="Times New Roman" w:eastAsia="TimesNewRoman" w:hAnsi="Times New Roman" w:cs="Times New Roman"/>
          <w:b/>
          <w:bCs/>
          <w:sz w:val="28"/>
          <w:szCs w:val="28"/>
        </w:rPr>
        <w:t>100</w:t>
      </w:r>
    </w:p>
    <w:p w14:paraId="36E8A2F1" w14:textId="65F70C18" w:rsidR="003902CC" w:rsidRPr="003902CC" w:rsidRDefault="00AE4933" w:rsidP="003902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Для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інтерпретації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показників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індексу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Робінсона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можна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скористатися</w:t>
      </w:r>
      <w:proofErr w:type="spellEnd"/>
      <w:r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даними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0B1C81">
        <w:rPr>
          <w:rFonts w:ascii="Times New Roman" w:eastAsia="TimesNewRoman" w:hAnsi="Times New Roman" w:cs="Times New Roman"/>
          <w:sz w:val="28"/>
          <w:szCs w:val="28"/>
        </w:rPr>
        <w:t>Г.Л.</w:t>
      </w:r>
      <w:proofErr w:type="gram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Апанасенко,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які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представлені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B1C81">
        <w:rPr>
          <w:rFonts w:ascii="Times New Roman" w:eastAsia="TimesNewRoman" w:hAnsi="Times New Roman" w:cs="Times New Roman"/>
          <w:sz w:val="28"/>
          <w:szCs w:val="28"/>
        </w:rPr>
        <w:t>таблиці</w:t>
      </w:r>
      <w:proofErr w:type="spellEnd"/>
      <w:r w:rsidRPr="000B1C8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5018E">
        <w:rPr>
          <w:rFonts w:ascii="Times New Roman" w:eastAsia="TimesNewRoman" w:hAnsi="Times New Roman" w:cs="Times New Roman"/>
          <w:sz w:val="28"/>
          <w:szCs w:val="28"/>
          <w:lang w:val="ru-RU"/>
        </w:rPr>
        <w:t>3</w:t>
      </w:r>
      <w:r w:rsidRPr="000B1C81"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671B5482" w14:textId="4982A29C" w:rsidR="00AE4933" w:rsidRPr="003B6C1C" w:rsidRDefault="00AE4933" w:rsidP="003902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B6C1C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3B6C1C">
        <w:rPr>
          <w:rFonts w:ascii="Times New Roman" w:hAnsi="Times New Roman" w:cs="Times New Roman"/>
          <w:sz w:val="28"/>
          <w:szCs w:val="28"/>
        </w:rPr>
        <w:t xml:space="preserve"> </w:t>
      </w:r>
      <w:r w:rsidR="0095018E" w:rsidRPr="00D16AE5">
        <w:rPr>
          <w:rFonts w:ascii="Times New Roman" w:hAnsi="Times New Roman" w:cs="Times New Roman"/>
          <w:sz w:val="28"/>
          <w:szCs w:val="28"/>
        </w:rPr>
        <w:t>3</w:t>
      </w:r>
      <w:r w:rsidRPr="003B6C1C">
        <w:rPr>
          <w:rFonts w:ascii="Times New Roman" w:hAnsi="Times New Roman" w:cs="Times New Roman"/>
          <w:sz w:val="28"/>
          <w:szCs w:val="28"/>
        </w:rPr>
        <w:t>.</w:t>
      </w:r>
    </w:p>
    <w:p w14:paraId="1E85E954" w14:textId="77777777" w:rsidR="00AE4933" w:rsidRPr="00590B84" w:rsidRDefault="00AE4933" w:rsidP="003902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5D79">
        <w:rPr>
          <w:rFonts w:ascii="Times New Roman" w:eastAsia="TimesNewRoman" w:hAnsi="Times New Roman" w:cs="Times New Roman"/>
          <w:sz w:val="28"/>
          <w:szCs w:val="28"/>
        </w:rPr>
        <w:t>Оціночні</w:t>
      </w:r>
      <w:proofErr w:type="spellEnd"/>
      <w:r w:rsidRPr="00B95D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B95D79">
        <w:rPr>
          <w:rFonts w:ascii="Times New Roman" w:eastAsia="TimesNewRoman" w:hAnsi="Times New Roman" w:cs="Times New Roman"/>
          <w:sz w:val="28"/>
          <w:szCs w:val="28"/>
        </w:rPr>
        <w:t>рівні</w:t>
      </w:r>
      <w:proofErr w:type="spellEnd"/>
      <w:r w:rsidRPr="00B95D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B95D79">
        <w:rPr>
          <w:rFonts w:ascii="Times New Roman" w:eastAsia="TimesNewRoman" w:hAnsi="Times New Roman" w:cs="Times New Roman"/>
          <w:sz w:val="28"/>
          <w:szCs w:val="28"/>
        </w:rPr>
        <w:t>діяльності</w:t>
      </w:r>
      <w:proofErr w:type="spellEnd"/>
      <w:r w:rsidRPr="00B95D79">
        <w:rPr>
          <w:rFonts w:ascii="Times New Roman" w:eastAsia="TimesNewRoman" w:hAnsi="Times New Roman" w:cs="Times New Roman"/>
          <w:sz w:val="28"/>
          <w:szCs w:val="28"/>
        </w:rPr>
        <w:t xml:space="preserve"> ССС за </w:t>
      </w:r>
      <w:proofErr w:type="spellStart"/>
      <w:r w:rsidRPr="00B95D79">
        <w:rPr>
          <w:rFonts w:ascii="Times New Roman" w:eastAsia="TimesNewRoman" w:hAnsi="Times New Roman" w:cs="Times New Roman"/>
          <w:sz w:val="28"/>
          <w:szCs w:val="28"/>
        </w:rPr>
        <w:t>індексом</w:t>
      </w:r>
      <w:proofErr w:type="spellEnd"/>
      <w:r w:rsidRPr="00B95D7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B95D79">
        <w:rPr>
          <w:rFonts w:ascii="Times New Roman" w:eastAsia="TimesNewRoman" w:hAnsi="Times New Roman" w:cs="Times New Roman"/>
          <w:sz w:val="28"/>
          <w:szCs w:val="28"/>
        </w:rPr>
        <w:t>Робінсона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4933" w:rsidRPr="000E6881" w14:paraId="0112BCF0" w14:textId="77777777" w:rsidTr="006A7FB6">
        <w:tc>
          <w:tcPr>
            <w:tcW w:w="4672" w:type="dxa"/>
          </w:tcPr>
          <w:p w14:paraId="1254F6C9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Оціночні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рівні</w:t>
            </w:r>
            <w:proofErr w:type="spellEnd"/>
          </w:p>
        </w:tc>
        <w:tc>
          <w:tcPr>
            <w:tcW w:w="4673" w:type="dxa"/>
          </w:tcPr>
          <w:p w14:paraId="608C4A7E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Показники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індексу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Робінсона</w:t>
            </w:r>
            <w:proofErr w:type="spellEnd"/>
          </w:p>
        </w:tc>
      </w:tr>
      <w:tr w:rsidR="00AE4933" w:rsidRPr="000E6881" w14:paraId="0DAEF7E4" w14:textId="77777777" w:rsidTr="006A7FB6">
        <w:tc>
          <w:tcPr>
            <w:tcW w:w="4672" w:type="dxa"/>
          </w:tcPr>
          <w:p w14:paraId="46E6EBA6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Високий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рівень</w:t>
            </w:r>
            <w:proofErr w:type="spellEnd"/>
          </w:p>
        </w:tc>
        <w:tc>
          <w:tcPr>
            <w:tcW w:w="4673" w:type="dxa"/>
          </w:tcPr>
          <w:p w14:paraId="23EB1C72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 xml:space="preserve">69 і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менше</w:t>
            </w:r>
            <w:proofErr w:type="spellEnd"/>
          </w:p>
        </w:tc>
      </w:tr>
      <w:tr w:rsidR="00AE4933" w:rsidRPr="000E6881" w14:paraId="55C2AC2A" w14:textId="77777777" w:rsidTr="006A7FB6">
        <w:tc>
          <w:tcPr>
            <w:tcW w:w="4672" w:type="dxa"/>
          </w:tcPr>
          <w:p w14:paraId="0C689B55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Вище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середнього</w:t>
            </w:r>
            <w:proofErr w:type="spellEnd"/>
          </w:p>
        </w:tc>
        <w:tc>
          <w:tcPr>
            <w:tcW w:w="4673" w:type="dxa"/>
          </w:tcPr>
          <w:p w14:paraId="241BB385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70-84</w:t>
            </w:r>
          </w:p>
        </w:tc>
      </w:tr>
      <w:tr w:rsidR="00AE4933" w:rsidRPr="000E6881" w14:paraId="4E9438B0" w14:textId="77777777" w:rsidTr="006A7FB6">
        <w:tc>
          <w:tcPr>
            <w:tcW w:w="4672" w:type="dxa"/>
          </w:tcPr>
          <w:p w14:paraId="28539F9A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Середній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рівень</w:t>
            </w:r>
            <w:proofErr w:type="spellEnd"/>
          </w:p>
        </w:tc>
        <w:tc>
          <w:tcPr>
            <w:tcW w:w="4673" w:type="dxa"/>
          </w:tcPr>
          <w:p w14:paraId="2B1E9058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85-94</w:t>
            </w:r>
          </w:p>
        </w:tc>
      </w:tr>
      <w:tr w:rsidR="00AE4933" w:rsidRPr="000E6881" w14:paraId="4D173B05" w14:textId="77777777" w:rsidTr="006A7FB6">
        <w:tc>
          <w:tcPr>
            <w:tcW w:w="4672" w:type="dxa"/>
          </w:tcPr>
          <w:p w14:paraId="274FA509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lastRenderedPageBreak/>
              <w:t>Нижче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середнього</w:t>
            </w:r>
            <w:proofErr w:type="spellEnd"/>
          </w:p>
        </w:tc>
        <w:tc>
          <w:tcPr>
            <w:tcW w:w="4673" w:type="dxa"/>
          </w:tcPr>
          <w:p w14:paraId="357B0FBB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95-110</w:t>
            </w:r>
          </w:p>
        </w:tc>
      </w:tr>
      <w:tr w:rsidR="00AE4933" w:rsidRPr="000E6881" w14:paraId="7BFF3930" w14:textId="77777777" w:rsidTr="006A7FB6">
        <w:tc>
          <w:tcPr>
            <w:tcW w:w="4672" w:type="dxa"/>
          </w:tcPr>
          <w:p w14:paraId="0F40109A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Низький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рівень</w:t>
            </w:r>
            <w:proofErr w:type="spellEnd"/>
          </w:p>
        </w:tc>
        <w:tc>
          <w:tcPr>
            <w:tcW w:w="4673" w:type="dxa"/>
          </w:tcPr>
          <w:p w14:paraId="27C998FF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 xml:space="preserve">111 і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більше</w:t>
            </w:r>
            <w:proofErr w:type="spellEnd"/>
          </w:p>
        </w:tc>
      </w:tr>
    </w:tbl>
    <w:p w14:paraId="0941DC61" w14:textId="77777777" w:rsidR="00AE4933" w:rsidRDefault="00AE4933" w:rsidP="00AE4933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</w:p>
    <w:p w14:paraId="3EB0251E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пульсовий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артеріальний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тиск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(ПАТ)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обсяг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викидається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лівого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шлуночка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серця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68CCC5D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Розраховується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різниця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288C4CE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ПАТ = </w:t>
      </w:r>
      <w:proofErr w:type="spellStart"/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АТс</w:t>
      </w:r>
      <w:proofErr w:type="spellEnd"/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‒ </w:t>
      </w:r>
      <w:proofErr w:type="spellStart"/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АТд</w:t>
      </w:r>
      <w:proofErr w:type="spellEnd"/>
    </w:p>
    <w:p w14:paraId="33F2F571" w14:textId="77777777" w:rsidR="00AE4933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Нормативний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діапазон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ПАТ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складає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30-50</w:t>
      </w:r>
      <w:proofErr w:type="gram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мм.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рт.с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ABECB64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Одним з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інформативних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гемодинаміки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середнього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артеріального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тиску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(САТ)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розрахувати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за такою формулою:</w:t>
      </w:r>
    </w:p>
    <w:p w14:paraId="548D7EEA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САТ = </w:t>
      </w:r>
      <w:proofErr w:type="gramStart"/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ПАТ</w:t>
      </w:r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:</w:t>
      </w:r>
      <w:proofErr w:type="gramEnd"/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3 + </w:t>
      </w:r>
      <w:proofErr w:type="spellStart"/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АТд</w:t>
      </w:r>
      <w:proofErr w:type="spellEnd"/>
    </w:p>
    <w:p w14:paraId="534AAAB4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Нормативний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діапазон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САТ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складає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70-100</w:t>
      </w:r>
      <w:proofErr w:type="gram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мм. рт.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стомлення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підвищується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10-30 мм.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рт.ст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283911B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ССС також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такий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ударний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об’єм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(УО),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розрахувати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скориставшись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формулою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Лілієністранда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Цандера:</w:t>
      </w:r>
    </w:p>
    <w:p w14:paraId="3C62B138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УО = (</w:t>
      </w:r>
      <w:proofErr w:type="gramStart"/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ПАТ </w:t>
      </w:r>
      <w:r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:</w:t>
      </w:r>
      <w:proofErr w:type="gramEnd"/>
      <w:r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САТ) × 100</w:t>
      </w:r>
    </w:p>
    <w:p w14:paraId="3135874A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де: ПАТ ‒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пульсовий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САТ ‒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D93E278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показником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серцевий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викид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хвилинний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об'єм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крові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(ХОК)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мілілітрах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яку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викидає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серце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одну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отримують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наступною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формулою:</w:t>
      </w:r>
    </w:p>
    <w:p w14:paraId="5D640576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ХОК (мл/</w:t>
      </w:r>
      <w:proofErr w:type="spellStart"/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хв</w:t>
      </w:r>
      <w:proofErr w:type="spellEnd"/>
      <w:r w:rsidRPr="00F56878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) = УО × ЧСС</w:t>
      </w:r>
    </w:p>
    <w:p w14:paraId="6132610C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де: УО ‒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ударний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об'єм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(мл); ЧСС ‒ частота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.).</w:t>
      </w:r>
    </w:p>
    <w:p w14:paraId="64C1F9C0" w14:textId="77777777" w:rsidR="00AE4933" w:rsidRPr="006D742D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Нормативний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діапазон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ХОК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складає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3500 - 5000</w:t>
      </w:r>
      <w:proofErr w:type="gram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мл.</w:t>
      </w:r>
    </w:p>
    <w:p w14:paraId="00972647" w14:textId="0BEDFA19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Показник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периферичного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оп</w:t>
      </w:r>
      <w:r w:rsidR="00593D70" w:rsidRPr="008B7E67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</w:t>
      </w:r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ру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судин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(ПОС),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віддзеркалює</w:t>
      </w:r>
      <w:proofErr w:type="spellEnd"/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постійність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середнього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доповнює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</w:t>
      </w:r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гемодинамічне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ПОС при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роботі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відображають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реакцію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капілярного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русла, яка в свою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чергу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обсягу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циркулюючої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крові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Нормативний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діапазон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ПОС</w:t>
      </w:r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складає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800-1200</w:t>
      </w:r>
      <w:proofErr w:type="gram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ум.од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.;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розраховується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такою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формулою:</w:t>
      </w:r>
    </w:p>
    <w:p w14:paraId="41A41802" w14:textId="77777777" w:rsidR="00AE4933" w:rsidRPr="00413DA9" w:rsidRDefault="00AE4933" w:rsidP="00AE4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ПОС = (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САТ </w:t>
      </w:r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×1330 × 60</w:t>
      </w:r>
      <w:proofErr w:type="gramStart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 :</w:t>
      </w:r>
      <w:proofErr w:type="gramEnd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ХОК</w:t>
      </w:r>
    </w:p>
    <w:p w14:paraId="4F39D0A1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де: САТ ‒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середній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.;</w:t>
      </w:r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1330 ‒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коефіцієнт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конвертування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діни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60 ‒ число секунд 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80595DD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Коефіцієнт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ефективності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кровообігу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(КЕК)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 широко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застосовується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характеристики стану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гемодинаміки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вираховується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чином:</w:t>
      </w:r>
    </w:p>
    <w:p w14:paraId="09533646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</w:pP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КЕК = ПАТ </w:t>
      </w:r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× 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ЧСС (</w:t>
      </w:r>
      <w:proofErr w:type="spellStart"/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ум.од</w:t>
      </w:r>
      <w:proofErr w:type="spellEnd"/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.)</w:t>
      </w:r>
    </w:p>
    <w:p w14:paraId="5855DFFD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Нормативне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значення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КЕК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приблизно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складає</w:t>
      </w:r>
      <w:proofErr w:type="spellEnd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2600 </w:t>
      </w:r>
      <w:proofErr w:type="spellStart"/>
      <w:r w:rsidRPr="006D742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ум.од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при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стомленні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зростає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717ECE77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вегетативного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є вельми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важливими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її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даними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bookmarkStart w:id="2" w:name="_Hlk140739906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вегетативного </w:t>
      </w:r>
      <w:proofErr w:type="spellStart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індексу</w:t>
      </w:r>
      <w:proofErr w:type="spellEnd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Кердо</w:t>
      </w:r>
      <w:proofErr w:type="spellEnd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(ВІК)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чином:</w:t>
      </w:r>
    </w:p>
    <w:p w14:paraId="28C3981A" w14:textId="77777777" w:rsidR="00AE4933" w:rsidRPr="00413DA9" w:rsidRDefault="00AE4933" w:rsidP="00AE4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ВІК = (1 – </w:t>
      </w:r>
      <w:proofErr w:type="gramStart"/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d</w:t>
      </w:r>
      <w:r w:rsidRPr="00590B8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p</w:t>
      </w:r>
      <w:proofErr w:type="gramEnd"/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)×100,</w:t>
      </w:r>
    </w:p>
    <w:p w14:paraId="72AEF46F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 ВІК </w:t>
      </w:r>
      <w:r w:rsidRPr="00F56878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–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Кердо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ум.од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.);</w:t>
      </w:r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d </w:t>
      </w:r>
      <w:r w:rsidRPr="00F56878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–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АТ</w:t>
      </w:r>
      <w:r w:rsidRPr="00D12DBD">
        <w:rPr>
          <w:rFonts w:ascii="Times New Roman" w:eastAsia="TimesNewRoman" w:hAnsi="Times New Roman" w:cs="Times New Roman"/>
          <w:color w:val="000000"/>
          <w:sz w:val="28"/>
          <w:szCs w:val="28"/>
        </w:rPr>
        <w:t>д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мм.рт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 ст.);</w:t>
      </w:r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р </w:t>
      </w:r>
      <w:r w:rsidRPr="00F56878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ЧСС (</w:t>
      </w:r>
      <w:proofErr w:type="gram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.).</w:t>
      </w:r>
    </w:p>
    <w:bookmarkEnd w:id="2"/>
    <w:p w14:paraId="3CE4421B" w14:textId="4E1A3CE4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Згідно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вищезазначеної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формули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якщо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d/р = 1,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тобто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збігається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із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середнім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значенням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то ВІК = 0 і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це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відповідає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стану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вегетативної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рівноваги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ейтонії</w:t>
      </w:r>
      <w:proofErr w:type="spellEnd"/>
      <w:r w:rsidRPr="00D12DBD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).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 w:rsidRPr="00D12D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дорівнює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±0,15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</w:t>
      </w:r>
      <w:r w:rsidRPr="00D12D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збалансованої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симпатичний</w:t>
      </w:r>
      <w:proofErr w:type="spellEnd"/>
      <w:r w:rsidRPr="00D12D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парасимпатичний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(ВНС)</w:t>
      </w:r>
      <w:r w:rsidRPr="00D12DBD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знаходяться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динамічної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рівноваги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d/р&gt;1, то ВІК ‒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позитивний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d/</w:t>
      </w:r>
      <w:proofErr w:type="gram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р&lt;</w:t>
      </w:r>
      <w:proofErr w:type="gram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1, то ВІК ‒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Позитивні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ВІК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свідчать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зсув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вегетативного тонусу в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бік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симпатичної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переваги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симпатичний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виконує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енергетичну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функцію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поживл</w:t>
      </w:r>
      <w:r w:rsidR="008B7E67" w:rsidRPr="00042055">
        <w:rPr>
          <w:rFonts w:ascii="Times New Roman" w:eastAsia="TimesNewRoman" w:hAnsi="Times New Roman" w:cs="Times New Roman"/>
          <w:color w:val="000000"/>
          <w:sz w:val="28"/>
          <w:szCs w:val="28"/>
        </w:rPr>
        <w:t>ю</w:t>
      </w:r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ючи</w:t>
      </w:r>
      <w:proofErr w:type="spellEnd"/>
      <w:r w:rsidR="008B7E67" w:rsidRPr="008B7E6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діяльність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екстремальних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умовах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негативні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56878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бік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парасимпатичної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парасимпатичний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трофічну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функцію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забезпечуючи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відновлення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дисбаланс</w:t>
      </w:r>
      <w:r w:rsidRPr="00966EB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відділів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ВНС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ВІК в межах ± </w:t>
      </w:r>
      <w:proofErr w:type="gram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0,15 - 0,3</w:t>
      </w:r>
      <w:proofErr w:type="gram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виражений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дисбаланс ‒ при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ВІК ± 0,3 та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BC8E259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3" w:name="_Hlk140740791"/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відтак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стан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можна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використанням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формули</w:t>
      </w:r>
      <w:proofErr w:type="spellEnd"/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розрахунку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адаптаційного</w:t>
      </w:r>
      <w:proofErr w:type="spellEnd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потенціалу</w:t>
      </w:r>
      <w:proofErr w:type="spellEnd"/>
      <w:r w:rsidRPr="00413DA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(АП)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36663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за Р.М. </w:t>
      </w:r>
      <w:proofErr w:type="spellStart"/>
      <w:r w:rsidRPr="0036663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Баєвським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співавт</w:t>
      </w:r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>орами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:</w:t>
      </w:r>
    </w:p>
    <w:p w14:paraId="04A03053" w14:textId="767F06E3" w:rsidR="00AE4933" w:rsidRPr="00413DA9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413DA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АП = </w:t>
      </w:r>
      <w:r w:rsidR="005C390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0,011 </w:t>
      </w:r>
      <w:r w:rsidRPr="00413DA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× 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>ЧСС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 + 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0,014 </w:t>
      </w:r>
      <w:r w:rsidRPr="00413DA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× </w:t>
      </w:r>
      <w:proofErr w:type="spellStart"/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>АТс</w:t>
      </w:r>
      <w:proofErr w:type="spellEnd"/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 + 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0,008 </w:t>
      </w:r>
      <w:r w:rsidRPr="00413DA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× </w:t>
      </w:r>
      <w:proofErr w:type="spellStart"/>
      <w:proofErr w:type="gramStart"/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>АТд</w:t>
      </w:r>
      <w:proofErr w:type="spellEnd"/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  <w:proofErr w:type="gramEnd"/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+ 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0,014 </w:t>
      </w:r>
      <w:r w:rsidRPr="00413DA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× 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 + 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0,009 </w:t>
      </w:r>
      <w:r w:rsidRPr="00413DA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×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>МТ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 ‒ 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0,009 </w:t>
      </w:r>
      <w:r w:rsidRPr="00413DA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× 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>ДТ</w:t>
      </w:r>
      <w:r w:rsidR="005C3907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  <w:r w:rsidRPr="00413DA9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4"/>
          <w:szCs w:val="24"/>
        </w:rPr>
        <w:t xml:space="preserve"> ‒ 0,273</w:t>
      </w:r>
    </w:p>
    <w:p w14:paraId="106A9847" w14:textId="77777777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де: В –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вік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роках, МТ –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 кг), ДТ –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зріст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(в см),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АТс</w:t>
      </w:r>
      <w:proofErr w:type="spellEnd"/>
      <w:r w:rsidRPr="00413DA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систолічний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діастолічний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артеріальний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ЧСС – частота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уд./</w:t>
      </w:r>
      <w:proofErr w:type="spellStart"/>
      <w:proofErr w:type="gram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.).</w:t>
      </w:r>
    </w:p>
    <w:bookmarkEnd w:id="3"/>
    <w:p w14:paraId="64609124" w14:textId="60330A33" w:rsidR="00AE4933" w:rsidRPr="00F56878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18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4</w:t>
      </w:r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наведена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розподіл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групами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адаптаційного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потенціалу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Р.М.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Баєвським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7ACF881" w14:textId="29819EA4" w:rsidR="00AE4933" w:rsidRPr="0095018E" w:rsidRDefault="00AE4933" w:rsidP="00390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18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4</w:t>
      </w:r>
    </w:p>
    <w:p w14:paraId="71C65250" w14:textId="77777777" w:rsidR="00AE4933" w:rsidRDefault="00AE4933" w:rsidP="003902CC">
      <w:pPr>
        <w:spacing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Р.М. </w:t>
      </w:r>
      <w:proofErr w:type="spellStart"/>
      <w:r w:rsidRPr="00F56878">
        <w:rPr>
          <w:rFonts w:ascii="Times New Roman" w:eastAsia="TimesNewRoman" w:hAnsi="Times New Roman" w:cs="Times New Roman"/>
          <w:color w:val="000000"/>
          <w:sz w:val="28"/>
          <w:szCs w:val="28"/>
        </w:rPr>
        <w:t>Баєвським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134"/>
        <w:gridCol w:w="2829"/>
      </w:tblGrid>
      <w:tr w:rsidR="00AE4933" w:rsidRPr="009E7CDF" w14:paraId="69666C58" w14:textId="77777777" w:rsidTr="006A7FB6">
        <w:tc>
          <w:tcPr>
            <w:tcW w:w="1696" w:type="dxa"/>
          </w:tcPr>
          <w:p w14:paraId="6050C504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Значення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АП</w:t>
            </w:r>
          </w:p>
        </w:tc>
        <w:tc>
          <w:tcPr>
            <w:tcW w:w="3686" w:type="dxa"/>
          </w:tcPr>
          <w:p w14:paraId="15A31155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Функціональний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стан</w:t>
            </w:r>
          </w:p>
        </w:tc>
        <w:tc>
          <w:tcPr>
            <w:tcW w:w="1134" w:type="dxa"/>
          </w:tcPr>
          <w:p w14:paraId="2BDCAC6B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Група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здоров'я</w:t>
            </w:r>
            <w:proofErr w:type="spellEnd"/>
          </w:p>
        </w:tc>
        <w:tc>
          <w:tcPr>
            <w:tcW w:w="2829" w:type="dxa"/>
          </w:tcPr>
          <w:p w14:paraId="4BCF43BC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Рекомендації</w:t>
            </w:r>
            <w:proofErr w:type="spellEnd"/>
          </w:p>
        </w:tc>
      </w:tr>
      <w:tr w:rsidR="00AE4933" w:rsidRPr="009E7CDF" w14:paraId="3766F06A" w14:textId="77777777" w:rsidTr="006A7FB6">
        <w:tc>
          <w:tcPr>
            <w:tcW w:w="1696" w:type="dxa"/>
          </w:tcPr>
          <w:p w14:paraId="19575F23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Нижче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2.60</w:t>
            </w:r>
          </w:p>
        </w:tc>
        <w:tc>
          <w:tcPr>
            <w:tcW w:w="3686" w:type="dxa"/>
          </w:tcPr>
          <w:p w14:paraId="47E97C29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Задовільна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адаптація</w:t>
            </w:r>
            <w:proofErr w:type="spellEnd"/>
          </w:p>
        </w:tc>
        <w:tc>
          <w:tcPr>
            <w:tcW w:w="1134" w:type="dxa"/>
          </w:tcPr>
          <w:p w14:paraId="634CFE72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69E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829" w:type="dxa"/>
          </w:tcPr>
          <w:p w14:paraId="1BCA352E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Загальні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оздоровчі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заходи</w:t>
            </w:r>
          </w:p>
        </w:tc>
      </w:tr>
      <w:tr w:rsidR="00AE4933" w:rsidRPr="009E7CDF" w14:paraId="2CF9C3BD" w14:textId="77777777" w:rsidTr="006A7FB6">
        <w:tc>
          <w:tcPr>
            <w:tcW w:w="1696" w:type="dxa"/>
          </w:tcPr>
          <w:p w14:paraId="0321F006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2.60-3.09</w:t>
            </w:r>
          </w:p>
        </w:tc>
        <w:tc>
          <w:tcPr>
            <w:tcW w:w="3686" w:type="dxa"/>
          </w:tcPr>
          <w:p w14:paraId="4801BDAB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Напруження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механізмів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адаптації</w:t>
            </w:r>
            <w:proofErr w:type="spellEnd"/>
          </w:p>
        </w:tc>
        <w:tc>
          <w:tcPr>
            <w:tcW w:w="1134" w:type="dxa"/>
          </w:tcPr>
          <w:p w14:paraId="05D61867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69E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829" w:type="dxa"/>
          </w:tcPr>
          <w:p w14:paraId="0172D248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Оздоровчі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профілактичні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заходи</w:t>
            </w:r>
          </w:p>
        </w:tc>
      </w:tr>
      <w:tr w:rsidR="00AE4933" w14:paraId="46CBCE09" w14:textId="77777777" w:rsidTr="006A7FB6">
        <w:tc>
          <w:tcPr>
            <w:tcW w:w="1696" w:type="dxa"/>
          </w:tcPr>
          <w:p w14:paraId="04D6EA41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>3.10-3.49</w:t>
            </w:r>
          </w:p>
        </w:tc>
        <w:tc>
          <w:tcPr>
            <w:tcW w:w="3686" w:type="dxa"/>
          </w:tcPr>
          <w:p w14:paraId="43E56E42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Незадовільна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адаптація</w:t>
            </w:r>
            <w:proofErr w:type="spellEnd"/>
          </w:p>
        </w:tc>
        <w:tc>
          <w:tcPr>
            <w:tcW w:w="1134" w:type="dxa"/>
          </w:tcPr>
          <w:p w14:paraId="53C3A35E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69E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29" w:type="dxa"/>
          </w:tcPr>
          <w:p w14:paraId="135F36F3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Профілактичні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лікарські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заходи</w:t>
            </w:r>
          </w:p>
        </w:tc>
      </w:tr>
      <w:tr w:rsidR="00AE4933" w14:paraId="258047DB" w14:textId="77777777" w:rsidTr="006A7FB6">
        <w:tc>
          <w:tcPr>
            <w:tcW w:w="1696" w:type="dxa"/>
          </w:tcPr>
          <w:p w14:paraId="13AC0D3C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 xml:space="preserve">3.50 і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вище</w:t>
            </w:r>
            <w:proofErr w:type="spellEnd"/>
          </w:p>
        </w:tc>
        <w:tc>
          <w:tcPr>
            <w:tcW w:w="3686" w:type="dxa"/>
          </w:tcPr>
          <w:p w14:paraId="4A8461BB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C69E4">
              <w:rPr>
                <w:rFonts w:ascii="Times New Roman" w:hAnsi="Times New Roman" w:cs="Times New Roman"/>
                <w:lang w:val="ru-RU"/>
              </w:rPr>
              <w:t xml:space="preserve">Зрив </w:t>
            </w: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адаптації</w:t>
            </w:r>
            <w:proofErr w:type="spellEnd"/>
          </w:p>
        </w:tc>
        <w:tc>
          <w:tcPr>
            <w:tcW w:w="1134" w:type="dxa"/>
          </w:tcPr>
          <w:p w14:paraId="53A61FD8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69E4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2829" w:type="dxa"/>
          </w:tcPr>
          <w:p w14:paraId="2720844D" w14:textId="77777777" w:rsidR="00AE4933" w:rsidRPr="008C69E4" w:rsidRDefault="00AE4933" w:rsidP="006A7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9E4">
              <w:rPr>
                <w:rFonts w:ascii="Times New Roman" w:hAnsi="Times New Roman" w:cs="Times New Roman"/>
                <w:lang w:val="ru-RU"/>
              </w:rPr>
              <w:t>Лікарські</w:t>
            </w:r>
            <w:proofErr w:type="spellEnd"/>
            <w:r w:rsidRPr="008C69E4">
              <w:rPr>
                <w:rFonts w:ascii="Times New Roman" w:hAnsi="Times New Roman" w:cs="Times New Roman"/>
                <w:lang w:val="ru-RU"/>
              </w:rPr>
              <w:t xml:space="preserve"> заходи</w:t>
            </w:r>
          </w:p>
        </w:tc>
      </w:tr>
    </w:tbl>
    <w:p w14:paraId="455153C8" w14:textId="77777777" w:rsidR="00AE4933" w:rsidRDefault="00AE4933" w:rsidP="00AE49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07F479" w14:textId="77777777" w:rsidR="00AE4933" w:rsidRPr="006E594C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АП для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дитячого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контингенту проводиться за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модифікованою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методикою з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визначенням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індексу</w:t>
      </w:r>
      <w:proofErr w:type="spellEnd"/>
      <w:r w:rsidRPr="006E594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функціональних</w:t>
      </w:r>
      <w:proofErr w:type="spellEnd"/>
      <w:r w:rsidRPr="006E594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змін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66EB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(ІФЗ)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чотирма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градаціями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зрив </w:t>
      </w:r>
      <w:proofErr w:type="spellStart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адаптації</w:t>
      </w:r>
      <w:proofErr w:type="spellEnd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незадовільна</w:t>
      </w:r>
      <w:proofErr w:type="spellEnd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адаптація</w:t>
      </w:r>
      <w:proofErr w:type="spellEnd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напруження</w:t>
      </w:r>
      <w:proofErr w:type="spellEnd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механізмів</w:t>
      </w:r>
      <w:proofErr w:type="spellEnd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адаптації</w:t>
      </w:r>
      <w:proofErr w:type="spellEnd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задовільна</w:t>
      </w:r>
      <w:proofErr w:type="spellEnd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адаптація</w:t>
      </w:r>
      <w:proofErr w:type="spellEnd"/>
      <w:r w:rsidRPr="00D16AE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383AB779" w14:textId="77777777" w:rsidR="00AE4933" w:rsidRPr="006E594C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E594C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Приклад 1. </w:t>
      </w:r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АП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учня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13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який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має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морфо-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158 см,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маса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52 кг,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АТc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115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АТд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60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., ЧСС – 68 уд/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використано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формулу 1.</w:t>
      </w:r>
    </w:p>
    <w:p w14:paraId="3F9D7DEA" w14:textId="77777777" w:rsidR="00AE4933" w:rsidRPr="006E594C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r w:rsidRPr="006E594C">
        <w:rPr>
          <w:rFonts w:ascii="Times New Roman" w:eastAsia="TimesNewRoman" w:hAnsi="Times New Roman" w:cs="Times New Roman"/>
          <w:color w:val="FFFFFF"/>
          <w:sz w:val="28"/>
          <w:szCs w:val="28"/>
        </w:rPr>
        <w:t>98</w:t>
      </w:r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формулою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визначено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АП:</w:t>
      </w:r>
    </w:p>
    <w:p w14:paraId="17F4557F" w14:textId="77777777" w:rsidR="00AE4933" w:rsidRPr="006E594C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E594C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lastRenderedPageBreak/>
        <w:t>АП</w:t>
      </w:r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=0,011×68+0,014×115+0,008×60+0,014×13+0,009×52−0,009×158−0,27=1,796</w:t>
      </w:r>
    </w:p>
    <w:p w14:paraId="1380BAA9" w14:textId="2CA28BD6" w:rsidR="00AE4933" w:rsidRPr="006E594C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отриманий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– 1,796 бала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відповідає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задовільному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рівню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адаптації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хлопчиків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13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(табл. </w:t>
      </w:r>
      <w:r w:rsidR="0095018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5</w:t>
      </w:r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).</w:t>
      </w:r>
    </w:p>
    <w:p w14:paraId="4C85B0D9" w14:textId="61816241" w:rsidR="00AE4933" w:rsidRPr="0095018E" w:rsidRDefault="00AE4933" w:rsidP="00390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18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5</w:t>
      </w:r>
    </w:p>
    <w:p w14:paraId="3FDE4B4D" w14:textId="77777777" w:rsidR="00AE4933" w:rsidRPr="006E594C" w:rsidRDefault="00AE4933" w:rsidP="0039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bookmarkStart w:id="4" w:name="_Hlk146479274"/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рівня</w:t>
      </w:r>
      <w:proofErr w:type="spellEnd"/>
    </w:p>
    <w:p w14:paraId="4DFB93FA" w14:textId="77777777" w:rsidR="00AE4933" w:rsidRDefault="00AE4933" w:rsidP="003902CC">
      <w:pPr>
        <w:spacing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адаптаційних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можливостей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6-17</w:t>
      </w:r>
      <w:proofErr w:type="gramEnd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94C">
        <w:rPr>
          <w:rFonts w:ascii="Times New Roman" w:eastAsia="TimesNewRoman" w:hAnsi="Times New Roman" w:cs="Times New Roman"/>
          <w:color w:val="000000"/>
          <w:sz w:val="28"/>
          <w:szCs w:val="28"/>
        </w:rPr>
        <w:t>років</w:t>
      </w:r>
      <w:proofErr w:type="spellEnd"/>
    </w:p>
    <w:tbl>
      <w:tblPr>
        <w:tblStyle w:val="a3"/>
        <w:tblW w:w="9333" w:type="dxa"/>
        <w:tblLook w:val="04A0" w:firstRow="1" w:lastRow="0" w:firstColumn="1" w:lastColumn="0" w:noHBand="0" w:noVBand="1"/>
      </w:tblPr>
      <w:tblGrid>
        <w:gridCol w:w="560"/>
        <w:gridCol w:w="802"/>
        <w:gridCol w:w="1511"/>
        <w:gridCol w:w="2225"/>
        <w:gridCol w:w="2268"/>
        <w:gridCol w:w="1967"/>
      </w:tblGrid>
      <w:tr w:rsidR="006818F7" w14:paraId="2ADF5773" w14:textId="61033523" w:rsidTr="006818F7">
        <w:tc>
          <w:tcPr>
            <w:tcW w:w="560" w:type="dxa"/>
            <w:vMerge w:val="restart"/>
          </w:tcPr>
          <w:p w14:paraId="4768B0D7" w14:textId="77777777" w:rsidR="006818F7" w:rsidRPr="00233707" w:rsidRDefault="006818F7" w:rsidP="006A7FB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Вік</w:t>
            </w:r>
            <w:proofErr w:type="spellEnd"/>
          </w:p>
        </w:tc>
        <w:tc>
          <w:tcPr>
            <w:tcW w:w="802" w:type="dxa"/>
            <w:vMerge w:val="restart"/>
          </w:tcPr>
          <w:p w14:paraId="16550BD7" w14:textId="77777777" w:rsidR="006818F7" w:rsidRPr="00233707" w:rsidRDefault="006818F7" w:rsidP="006A7FB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</w:p>
        </w:tc>
        <w:tc>
          <w:tcPr>
            <w:tcW w:w="7971" w:type="dxa"/>
            <w:gridSpan w:val="4"/>
          </w:tcPr>
          <w:p w14:paraId="57B3E184" w14:textId="77777777" w:rsidR="006818F7" w:rsidRPr="00233707" w:rsidRDefault="006818F7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Рівень</w:t>
            </w:r>
            <w:proofErr w:type="spell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індексу</w:t>
            </w:r>
            <w:proofErr w:type="spell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функціональних</w:t>
            </w:r>
            <w:proofErr w:type="spell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змін</w:t>
            </w:r>
            <w:proofErr w:type="spellEnd"/>
          </w:p>
        </w:tc>
      </w:tr>
      <w:tr w:rsidR="00AE4933" w14:paraId="614CDF48" w14:textId="77777777" w:rsidTr="006818F7">
        <w:tc>
          <w:tcPr>
            <w:tcW w:w="560" w:type="dxa"/>
            <w:vMerge/>
          </w:tcPr>
          <w:p w14:paraId="552AB017" w14:textId="77777777" w:rsidR="00AE4933" w:rsidRPr="00233707" w:rsidRDefault="00AE4933" w:rsidP="006A7FB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14:paraId="61B24FF9" w14:textId="77777777" w:rsidR="00AE4933" w:rsidRPr="00233707" w:rsidRDefault="00AE4933" w:rsidP="006A7FB6">
            <w:pPr>
              <w:spacing w:line="360" w:lineRule="auto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0B2F9B2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Задовільна</w:t>
            </w:r>
            <w:proofErr w:type="spellEnd"/>
          </w:p>
          <w:p w14:paraId="3D21ED44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адаптація</w:t>
            </w:r>
            <w:proofErr w:type="spellEnd"/>
          </w:p>
        </w:tc>
        <w:tc>
          <w:tcPr>
            <w:tcW w:w="2225" w:type="dxa"/>
          </w:tcPr>
          <w:p w14:paraId="59982E1B" w14:textId="107CC1D5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Напруження</w:t>
            </w:r>
            <w:proofErr w:type="spellEnd"/>
          </w:p>
          <w:p w14:paraId="3E2DAAEF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адаптації</w:t>
            </w:r>
            <w:proofErr w:type="spellEnd"/>
          </w:p>
        </w:tc>
        <w:tc>
          <w:tcPr>
            <w:tcW w:w="2268" w:type="dxa"/>
          </w:tcPr>
          <w:p w14:paraId="1929213A" w14:textId="1D24D170" w:rsidR="006818F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Незадовільна</w:t>
            </w:r>
            <w:proofErr w:type="spellEnd"/>
          </w:p>
          <w:p w14:paraId="79036697" w14:textId="39D7717A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адаптація</w:t>
            </w:r>
            <w:proofErr w:type="spellEnd"/>
          </w:p>
        </w:tc>
        <w:tc>
          <w:tcPr>
            <w:tcW w:w="1961" w:type="dxa"/>
          </w:tcPr>
          <w:p w14:paraId="1283B1E8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 xml:space="preserve">Зрив </w:t>
            </w:r>
            <w:proofErr w:type="spell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адаптації</w:t>
            </w:r>
            <w:proofErr w:type="spellEnd"/>
          </w:p>
        </w:tc>
      </w:tr>
      <w:tr w:rsidR="00AE4933" w14:paraId="4B39EE94" w14:textId="77777777" w:rsidTr="006818F7">
        <w:tc>
          <w:tcPr>
            <w:tcW w:w="560" w:type="dxa"/>
            <w:vMerge w:val="restart"/>
          </w:tcPr>
          <w:p w14:paraId="5D1EAA5E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02" w:type="dxa"/>
          </w:tcPr>
          <w:p w14:paraId="7C7AB07C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09D18B2C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1.74-1.82</w:t>
            </w:r>
          </w:p>
        </w:tc>
        <w:tc>
          <w:tcPr>
            <w:tcW w:w="2225" w:type="dxa"/>
          </w:tcPr>
          <w:p w14:paraId="46D4CFDB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1.47-1.73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1.82-2.09</w:t>
            </w:r>
          </w:p>
        </w:tc>
        <w:tc>
          <w:tcPr>
            <w:tcW w:w="2268" w:type="dxa"/>
          </w:tcPr>
          <w:p w14:paraId="6D36D93A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1.20-1.46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2.10-2.36</w:t>
            </w:r>
          </w:p>
        </w:tc>
        <w:tc>
          <w:tcPr>
            <w:tcW w:w="1961" w:type="dxa"/>
          </w:tcPr>
          <w:p w14:paraId="6C3869A6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≤1.19; ≥2.37</w:t>
            </w:r>
          </w:p>
        </w:tc>
      </w:tr>
      <w:tr w:rsidR="00AE4933" w14:paraId="42BDCCC1" w14:textId="77777777" w:rsidTr="006818F7">
        <w:tc>
          <w:tcPr>
            <w:tcW w:w="560" w:type="dxa"/>
            <w:vMerge/>
          </w:tcPr>
          <w:p w14:paraId="0882858D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124A2746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41D172FC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1.80-1.88</w:t>
            </w:r>
          </w:p>
        </w:tc>
        <w:tc>
          <w:tcPr>
            <w:tcW w:w="2225" w:type="dxa"/>
          </w:tcPr>
          <w:p w14:paraId="1B34FD20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1.53-1.80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1.89-2.15</w:t>
            </w:r>
          </w:p>
        </w:tc>
        <w:tc>
          <w:tcPr>
            <w:tcW w:w="2268" w:type="dxa"/>
          </w:tcPr>
          <w:p w14:paraId="5ADF645A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1.26-1.52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2.16-2.42</w:t>
            </w:r>
          </w:p>
        </w:tc>
        <w:tc>
          <w:tcPr>
            <w:tcW w:w="1961" w:type="dxa"/>
          </w:tcPr>
          <w:p w14:paraId="4719C595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≤1.25; ≥2.43</w:t>
            </w:r>
          </w:p>
        </w:tc>
      </w:tr>
      <w:tr w:rsidR="00AE4933" w14:paraId="08B3A99B" w14:textId="77777777" w:rsidTr="006818F7">
        <w:tc>
          <w:tcPr>
            <w:tcW w:w="560" w:type="dxa"/>
            <w:vMerge w:val="restart"/>
          </w:tcPr>
          <w:p w14:paraId="0664E9F9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02" w:type="dxa"/>
          </w:tcPr>
          <w:p w14:paraId="6870B179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46555BC1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1.73-1.81</w:t>
            </w:r>
          </w:p>
        </w:tc>
        <w:tc>
          <w:tcPr>
            <w:tcW w:w="2225" w:type="dxa"/>
          </w:tcPr>
          <w:p w14:paraId="53ADCB10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1.46-1.73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1.82-2.08</w:t>
            </w:r>
          </w:p>
        </w:tc>
        <w:tc>
          <w:tcPr>
            <w:tcW w:w="2268" w:type="dxa"/>
          </w:tcPr>
          <w:p w14:paraId="4D53F762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1.19-1.45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2.09-2.35</w:t>
            </w:r>
          </w:p>
        </w:tc>
        <w:tc>
          <w:tcPr>
            <w:tcW w:w="1961" w:type="dxa"/>
          </w:tcPr>
          <w:p w14:paraId="29464AE3" w14:textId="77777777" w:rsidR="00AE4933" w:rsidRPr="00233707" w:rsidRDefault="00AE4933" w:rsidP="006818F7">
            <w:pPr>
              <w:ind w:right="9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≤1.18; ≥2.36</w:t>
            </w:r>
          </w:p>
        </w:tc>
      </w:tr>
      <w:tr w:rsidR="00AE4933" w14:paraId="63BB08D7" w14:textId="77777777" w:rsidTr="006818F7">
        <w:tc>
          <w:tcPr>
            <w:tcW w:w="560" w:type="dxa"/>
            <w:vMerge/>
          </w:tcPr>
          <w:p w14:paraId="6F7E4931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5ACACB3E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30E3FFD6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1.78-1.86</w:t>
            </w:r>
          </w:p>
        </w:tc>
        <w:tc>
          <w:tcPr>
            <w:tcW w:w="2225" w:type="dxa"/>
          </w:tcPr>
          <w:p w14:paraId="35DA8750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1.51-1.77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1.87-2.13</w:t>
            </w:r>
          </w:p>
        </w:tc>
        <w:tc>
          <w:tcPr>
            <w:tcW w:w="2268" w:type="dxa"/>
          </w:tcPr>
          <w:p w14:paraId="1B85E859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1.24-1.50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2.14-2.40</w:t>
            </w:r>
          </w:p>
        </w:tc>
        <w:tc>
          <w:tcPr>
            <w:tcW w:w="1961" w:type="dxa"/>
          </w:tcPr>
          <w:p w14:paraId="7B2F6177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≤1.23; ≥2.41</w:t>
            </w:r>
          </w:p>
        </w:tc>
      </w:tr>
      <w:tr w:rsidR="00AE4933" w14:paraId="34BA1B61" w14:textId="77777777" w:rsidTr="006818F7">
        <w:tc>
          <w:tcPr>
            <w:tcW w:w="560" w:type="dxa"/>
            <w:vMerge w:val="restart"/>
          </w:tcPr>
          <w:p w14:paraId="194F0EA1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02" w:type="dxa"/>
          </w:tcPr>
          <w:p w14:paraId="08F0E6E5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1CD69FB5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1.73-1.81</w:t>
            </w:r>
          </w:p>
        </w:tc>
        <w:tc>
          <w:tcPr>
            <w:tcW w:w="2225" w:type="dxa"/>
          </w:tcPr>
          <w:p w14:paraId="70B9A54A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1.46-1.72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1.82-2.08</w:t>
            </w:r>
          </w:p>
        </w:tc>
        <w:tc>
          <w:tcPr>
            <w:tcW w:w="2268" w:type="dxa"/>
          </w:tcPr>
          <w:p w14:paraId="1D06ED1D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1.19-1.45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2.09-2.35</w:t>
            </w:r>
          </w:p>
        </w:tc>
        <w:tc>
          <w:tcPr>
            <w:tcW w:w="1961" w:type="dxa"/>
          </w:tcPr>
          <w:p w14:paraId="2DC3344C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≤1.18; ≥2.36</w:t>
            </w:r>
          </w:p>
        </w:tc>
      </w:tr>
      <w:tr w:rsidR="00AE4933" w14:paraId="055E0246" w14:textId="77777777" w:rsidTr="006818F7">
        <w:tc>
          <w:tcPr>
            <w:tcW w:w="560" w:type="dxa"/>
            <w:vMerge/>
          </w:tcPr>
          <w:p w14:paraId="62B934EC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76303605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32955A6C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1.80-1.88</w:t>
            </w:r>
          </w:p>
        </w:tc>
        <w:tc>
          <w:tcPr>
            <w:tcW w:w="2225" w:type="dxa"/>
          </w:tcPr>
          <w:p w14:paraId="26BABDC6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1.53-1.79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1.89-2.15</w:t>
            </w:r>
          </w:p>
        </w:tc>
        <w:tc>
          <w:tcPr>
            <w:tcW w:w="2268" w:type="dxa"/>
          </w:tcPr>
          <w:p w14:paraId="650F14EB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1.26-1.52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2.16-2.42</w:t>
            </w:r>
          </w:p>
        </w:tc>
        <w:tc>
          <w:tcPr>
            <w:tcW w:w="1961" w:type="dxa"/>
          </w:tcPr>
          <w:p w14:paraId="0EA259DC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≤1.25; ≥2.43</w:t>
            </w:r>
          </w:p>
        </w:tc>
      </w:tr>
      <w:tr w:rsidR="00AE4933" w14:paraId="21EFC83C" w14:textId="77777777" w:rsidTr="006818F7">
        <w:tc>
          <w:tcPr>
            <w:tcW w:w="560" w:type="dxa"/>
            <w:vMerge w:val="restart"/>
          </w:tcPr>
          <w:p w14:paraId="0289F77F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02" w:type="dxa"/>
          </w:tcPr>
          <w:p w14:paraId="01E8823B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4FD8C2AA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1.74-1.82</w:t>
            </w:r>
          </w:p>
        </w:tc>
        <w:tc>
          <w:tcPr>
            <w:tcW w:w="2225" w:type="dxa"/>
          </w:tcPr>
          <w:p w14:paraId="49B0CB32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1.47-1.73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1.83-2.10</w:t>
            </w:r>
          </w:p>
        </w:tc>
        <w:tc>
          <w:tcPr>
            <w:tcW w:w="2268" w:type="dxa"/>
          </w:tcPr>
          <w:p w14:paraId="1E700E64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1.20-1.46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2.10-2.36</w:t>
            </w:r>
          </w:p>
        </w:tc>
        <w:tc>
          <w:tcPr>
            <w:tcW w:w="1961" w:type="dxa"/>
          </w:tcPr>
          <w:p w14:paraId="4BE4C1E8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≤1.19; ≥2.37</w:t>
            </w:r>
          </w:p>
        </w:tc>
      </w:tr>
      <w:tr w:rsidR="00AE4933" w14:paraId="73904D7D" w14:textId="77777777" w:rsidTr="006818F7">
        <w:tc>
          <w:tcPr>
            <w:tcW w:w="560" w:type="dxa"/>
            <w:vMerge/>
          </w:tcPr>
          <w:p w14:paraId="06E16F4E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1177BE15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39C3EEB1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1.75-1.83</w:t>
            </w:r>
          </w:p>
        </w:tc>
        <w:tc>
          <w:tcPr>
            <w:tcW w:w="2225" w:type="dxa"/>
          </w:tcPr>
          <w:p w14:paraId="2CA8C595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1.45-1.71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1.81-2.07</w:t>
            </w:r>
          </w:p>
        </w:tc>
        <w:tc>
          <w:tcPr>
            <w:tcW w:w="2268" w:type="dxa"/>
          </w:tcPr>
          <w:p w14:paraId="61B0B154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1.21-1.47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2.11-2.37</w:t>
            </w:r>
          </w:p>
        </w:tc>
        <w:tc>
          <w:tcPr>
            <w:tcW w:w="1961" w:type="dxa"/>
          </w:tcPr>
          <w:p w14:paraId="528FD94D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≤1.20; ≥2.38</w:t>
            </w:r>
          </w:p>
        </w:tc>
      </w:tr>
      <w:tr w:rsidR="00AE4933" w14:paraId="00842950" w14:textId="77777777" w:rsidTr="006818F7">
        <w:tc>
          <w:tcPr>
            <w:tcW w:w="560" w:type="dxa"/>
            <w:vMerge w:val="restart"/>
          </w:tcPr>
          <w:p w14:paraId="01F9B18B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02" w:type="dxa"/>
          </w:tcPr>
          <w:p w14:paraId="631CE228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661D0F5E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1.72-1.80</w:t>
            </w:r>
          </w:p>
        </w:tc>
        <w:tc>
          <w:tcPr>
            <w:tcW w:w="2225" w:type="dxa"/>
          </w:tcPr>
          <w:p w14:paraId="03E37D24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1.45-1.71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1.81-2.07</w:t>
            </w:r>
          </w:p>
        </w:tc>
        <w:tc>
          <w:tcPr>
            <w:tcW w:w="2268" w:type="dxa"/>
          </w:tcPr>
          <w:p w14:paraId="49448872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1.18-1.44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2.08-2.34</w:t>
            </w:r>
          </w:p>
        </w:tc>
        <w:tc>
          <w:tcPr>
            <w:tcW w:w="1961" w:type="dxa"/>
          </w:tcPr>
          <w:p w14:paraId="65336A5C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≤1.17; ≥2.35</w:t>
            </w:r>
          </w:p>
        </w:tc>
      </w:tr>
      <w:tr w:rsidR="00AE4933" w14:paraId="54361A34" w14:textId="77777777" w:rsidTr="006818F7">
        <w:tc>
          <w:tcPr>
            <w:tcW w:w="560" w:type="dxa"/>
            <w:vMerge/>
          </w:tcPr>
          <w:p w14:paraId="69318607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2BEF9B94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22304453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1.72-1.80</w:t>
            </w:r>
          </w:p>
        </w:tc>
        <w:tc>
          <w:tcPr>
            <w:tcW w:w="2225" w:type="dxa"/>
          </w:tcPr>
          <w:p w14:paraId="30B9E98A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1.45-1.71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1.81-2.07</w:t>
            </w:r>
          </w:p>
        </w:tc>
        <w:tc>
          <w:tcPr>
            <w:tcW w:w="2268" w:type="dxa"/>
          </w:tcPr>
          <w:p w14:paraId="67410E40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1.18-1.44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2.08-2.34</w:t>
            </w:r>
          </w:p>
        </w:tc>
        <w:tc>
          <w:tcPr>
            <w:tcW w:w="1961" w:type="dxa"/>
          </w:tcPr>
          <w:p w14:paraId="45CC9327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≤1.17; ≥2.35</w:t>
            </w:r>
          </w:p>
        </w:tc>
      </w:tr>
      <w:tr w:rsidR="00AE4933" w14:paraId="7812A756" w14:textId="77777777" w:rsidTr="006818F7">
        <w:tc>
          <w:tcPr>
            <w:tcW w:w="560" w:type="dxa"/>
            <w:vMerge w:val="restart"/>
          </w:tcPr>
          <w:p w14:paraId="3A983154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02" w:type="dxa"/>
          </w:tcPr>
          <w:p w14:paraId="7BA947B1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28304BE3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1.76-1.84</w:t>
            </w:r>
          </w:p>
        </w:tc>
        <w:tc>
          <w:tcPr>
            <w:tcW w:w="2225" w:type="dxa"/>
          </w:tcPr>
          <w:p w14:paraId="5FDBFD3C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1.49-1.75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1.85-2.11</w:t>
            </w:r>
          </w:p>
        </w:tc>
        <w:tc>
          <w:tcPr>
            <w:tcW w:w="2268" w:type="dxa"/>
          </w:tcPr>
          <w:p w14:paraId="158EC25D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1.22-1.48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2.12-2.38</w:t>
            </w:r>
          </w:p>
        </w:tc>
        <w:tc>
          <w:tcPr>
            <w:tcW w:w="1961" w:type="dxa"/>
          </w:tcPr>
          <w:p w14:paraId="20C31BEA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≤1.21; ≥2.39</w:t>
            </w:r>
          </w:p>
        </w:tc>
      </w:tr>
      <w:tr w:rsidR="00AE4933" w14:paraId="7CCD5F91" w14:textId="77777777" w:rsidTr="006818F7">
        <w:tc>
          <w:tcPr>
            <w:tcW w:w="560" w:type="dxa"/>
            <w:vMerge/>
          </w:tcPr>
          <w:p w14:paraId="7EAA8B72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6FB48255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7AF8E2B3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1.72-1.80</w:t>
            </w:r>
          </w:p>
        </w:tc>
        <w:tc>
          <w:tcPr>
            <w:tcW w:w="2225" w:type="dxa"/>
          </w:tcPr>
          <w:p w14:paraId="391DD58E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1.45-1.71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1.81-2.07</w:t>
            </w:r>
          </w:p>
        </w:tc>
        <w:tc>
          <w:tcPr>
            <w:tcW w:w="2268" w:type="dxa"/>
          </w:tcPr>
          <w:p w14:paraId="48966B0C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1.19-1.44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2.08-2.34</w:t>
            </w:r>
          </w:p>
        </w:tc>
        <w:tc>
          <w:tcPr>
            <w:tcW w:w="1961" w:type="dxa"/>
          </w:tcPr>
          <w:p w14:paraId="4D95899E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≤1.18; ≥2.35</w:t>
            </w:r>
          </w:p>
        </w:tc>
      </w:tr>
      <w:tr w:rsidR="00AE4933" w14:paraId="013B5EF2" w14:textId="77777777" w:rsidTr="006818F7">
        <w:tc>
          <w:tcPr>
            <w:tcW w:w="560" w:type="dxa"/>
            <w:vMerge w:val="restart"/>
          </w:tcPr>
          <w:p w14:paraId="6DD83077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02" w:type="dxa"/>
          </w:tcPr>
          <w:p w14:paraId="19C82990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2EEF352E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1.73-1.81</w:t>
            </w:r>
          </w:p>
        </w:tc>
        <w:tc>
          <w:tcPr>
            <w:tcW w:w="2225" w:type="dxa"/>
          </w:tcPr>
          <w:p w14:paraId="29D80492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1.46-1.72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1.82-2.08</w:t>
            </w:r>
          </w:p>
        </w:tc>
        <w:tc>
          <w:tcPr>
            <w:tcW w:w="2268" w:type="dxa"/>
          </w:tcPr>
          <w:p w14:paraId="5F342D3A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1.19-1.45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2.09-2.35</w:t>
            </w:r>
          </w:p>
        </w:tc>
        <w:tc>
          <w:tcPr>
            <w:tcW w:w="1961" w:type="dxa"/>
          </w:tcPr>
          <w:p w14:paraId="6FB80241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≤1.18; ≥2.36</w:t>
            </w:r>
          </w:p>
        </w:tc>
      </w:tr>
      <w:tr w:rsidR="00AE4933" w14:paraId="482BB5B1" w14:textId="77777777" w:rsidTr="006818F7">
        <w:tc>
          <w:tcPr>
            <w:tcW w:w="560" w:type="dxa"/>
            <w:vMerge/>
          </w:tcPr>
          <w:p w14:paraId="5DB6099B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2B9B7925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06834CB9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1.73-1.81</w:t>
            </w:r>
          </w:p>
        </w:tc>
        <w:tc>
          <w:tcPr>
            <w:tcW w:w="2225" w:type="dxa"/>
          </w:tcPr>
          <w:p w14:paraId="7623053C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1.46-1.72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1.82-2.08</w:t>
            </w:r>
          </w:p>
        </w:tc>
        <w:tc>
          <w:tcPr>
            <w:tcW w:w="2268" w:type="dxa"/>
          </w:tcPr>
          <w:p w14:paraId="388CB932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1.19-1.45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2.09-2.35</w:t>
            </w:r>
          </w:p>
        </w:tc>
        <w:tc>
          <w:tcPr>
            <w:tcW w:w="1961" w:type="dxa"/>
          </w:tcPr>
          <w:p w14:paraId="09A98A4F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≤1.18; ≥2.36</w:t>
            </w:r>
          </w:p>
        </w:tc>
      </w:tr>
      <w:tr w:rsidR="00AE4933" w14:paraId="47EDF955" w14:textId="77777777" w:rsidTr="006818F7">
        <w:tc>
          <w:tcPr>
            <w:tcW w:w="560" w:type="dxa"/>
            <w:vMerge w:val="restart"/>
          </w:tcPr>
          <w:p w14:paraId="4FE61B98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02" w:type="dxa"/>
          </w:tcPr>
          <w:p w14:paraId="49BD7D52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057D8A3C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1.73-1.81</w:t>
            </w:r>
          </w:p>
        </w:tc>
        <w:tc>
          <w:tcPr>
            <w:tcW w:w="2225" w:type="dxa"/>
          </w:tcPr>
          <w:p w14:paraId="3C2CD24D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1.46-1.72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1.82-2.08</w:t>
            </w:r>
          </w:p>
        </w:tc>
        <w:tc>
          <w:tcPr>
            <w:tcW w:w="2268" w:type="dxa"/>
          </w:tcPr>
          <w:p w14:paraId="1E8C97C9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1.19-1.45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2.09-2.35</w:t>
            </w:r>
          </w:p>
        </w:tc>
        <w:tc>
          <w:tcPr>
            <w:tcW w:w="1961" w:type="dxa"/>
          </w:tcPr>
          <w:p w14:paraId="12A7BC42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≤1.18; ≥2.36</w:t>
            </w:r>
          </w:p>
        </w:tc>
      </w:tr>
      <w:tr w:rsidR="00AE4933" w14:paraId="1585DF78" w14:textId="77777777" w:rsidTr="006818F7">
        <w:tc>
          <w:tcPr>
            <w:tcW w:w="560" w:type="dxa"/>
            <w:vMerge/>
          </w:tcPr>
          <w:p w14:paraId="0F83050D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30658F07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432CC813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1.74-1.82</w:t>
            </w:r>
          </w:p>
        </w:tc>
        <w:tc>
          <w:tcPr>
            <w:tcW w:w="2225" w:type="dxa"/>
          </w:tcPr>
          <w:p w14:paraId="28045426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1.47-1.73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1.83-2.09</w:t>
            </w:r>
          </w:p>
        </w:tc>
        <w:tc>
          <w:tcPr>
            <w:tcW w:w="2268" w:type="dxa"/>
          </w:tcPr>
          <w:p w14:paraId="491D0813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1.20-1.46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2.10-2.36</w:t>
            </w:r>
          </w:p>
        </w:tc>
        <w:tc>
          <w:tcPr>
            <w:tcW w:w="1961" w:type="dxa"/>
          </w:tcPr>
          <w:p w14:paraId="79CBABAC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≤1.19; ≥2.37</w:t>
            </w:r>
          </w:p>
        </w:tc>
      </w:tr>
      <w:tr w:rsidR="00AE4933" w14:paraId="21BB242C" w14:textId="77777777" w:rsidTr="006818F7">
        <w:tc>
          <w:tcPr>
            <w:tcW w:w="560" w:type="dxa"/>
            <w:vMerge w:val="restart"/>
          </w:tcPr>
          <w:p w14:paraId="4BDACD58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02" w:type="dxa"/>
          </w:tcPr>
          <w:p w14:paraId="24047F23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5B8E3735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1.77-1.85</w:t>
            </w:r>
          </w:p>
        </w:tc>
        <w:tc>
          <w:tcPr>
            <w:tcW w:w="2225" w:type="dxa"/>
          </w:tcPr>
          <w:p w14:paraId="79E8CFC1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1.50-1.76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1.86-2.12</w:t>
            </w:r>
          </w:p>
        </w:tc>
        <w:tc>
          <w:tcPr>
            <w:tcW w:w="2268" w:type="dxa"/>
          </w:tcPr>
          <w:p w14:paraId="737727B4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1.23-1.49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2.13-2.39</w:t>
            </w:r>
          </w:p>
        </w:tc>
        <w:tc>
          <w:tcPr>
            <w:tcW w:w="1961" w:type="dxa"/>
          </w:tcPr>
          <w:p w14:paraId="3D3B29B0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≤1.22; ≥2.40</w:t>
            </w:r>
          </w:p>
        </w:tc>
      </w:tr>
      <w:tr w:rsidR="00AE4933" w14:paraId="3BB1BF32" w14:textId="77777777" w:rsidTr="006818F7">
        <w:tc>
          <w:tcPr>
            <w:tcW w:w="560" w:type="dxa"/>
            <w:vMerge/>
          </w:tcPr>
          <w:p w14:paraId="236780A8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54BF6A3F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4E5BDC16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1.78-1.86</w:t>
            </w:r>
          </w:p>
        </w:tc>
        <w:tc>
          <w:tcPr>
            <w:tcW w:w="2225" w:type="dxa"/>
          </w:tcPr>
          <w:p w14:paraId="351712BB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1.51-1.77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1.87-2.13</w:t>
            </w:r>
          </w:p>
        </w:tc>
        <w:tc>
          <w:tcPr>
            <w:tcW w:w="2268" w:type="dxa"/>
          </w:tcPr>
          <w:p w14:paraId="51366880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1.25-1.50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2.14-2.40</w:t>
            </w:r>
          </w:p>
        </w:tc>
        <w:tc>
          <w:tcPr>
            <w:tcW w:w="1961" w:type="dxa"/>
          </w:tcPr>
          <w:p w14:paraId="2F53C4CD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≤1.24; ≥2.41</w:t>
            </w:r>
          </w:p>
        </w:tc>
      </w:tr>
      <w:tr w:rsidR="00AE4933" w14:paraId="38E6F66D" w14:textId="77777777" w:rsidTr="006818F7">
        <w:tc>
          <w:tcPr>
            <w:tcW w:w="560" w:type="dxa"/>
            <w:vMerge w:val="restart"/>
          </w:tcPr>
          <w:p w14:paraId="2D00A906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02" w:type="dxa"/>
          </w:tcPr>
          <w:p w14:paraId="0D610614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5E32D7E6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1.82-1.90</w:t>
            </w:r>
          </w:p>
        </w:tc>
        <w:tc>
          <w:tcPr>
            <w:tcW w:w="2225" w:type="dxa"/>
          </w:tcPr>
          <w:p w14:paraId="5F9179F4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1.55-1.81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1.91-2.17</w:t>
            </w:r>
          </w:p>
        </w:tc>
        <w:tc>
          <w:tcPr>
            <w:tcW w:w="2268" w:type="dxa"/>
          </w:tcPr>
          <w:p w14:paraId="6B0078F4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1.29-1.54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2.18-2.44</w:t>
            </w:r>
          </w:p>
        </w:tc>
        <w:tc>
          <w:tcPr>
            <w:tcW w:w="1961" w:type="dxa"/>
          </w:tcPr>
          <w:p w14:paraId="0C2D1763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≤1.28; ≥2.45</w:t>
            </w:r>
          </w:p>
        </w:tc>
      </w:tr>
      <w:tr w:rsidR="00AE4933" w14:paraId="1157ED2E" w14:textId="77777777" w:rsidTr="006818F7">
        <w:tc>
          <w:tcPr>
            <w:tcW w:w="560" w:type="dxa"/>
            <w:vMerge/>
          </w:tcPr>
          <w:p w14:paraId="0F8875B0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01179C5C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01D62A7A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1.85-1.93</w:t>
            </w:r>
          </w:p>
        </w:tc>
        <w:tc>
          <w:tcPr>
            <w:tcW w:w="2225" w:type="dxa"/>
          </w:tcPr>
          <w:p w14:paraId="10282E84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1.58-1.84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1.94-2.20</w:t>
            </w:r>
          </w:p>
        </w:tc>
        <w:tc>
          <w:tcPr>
            <w:tcW w:w="2268" w:type="dxa"/>
          </w:tcPr>
          <w:p w14:paraId="708D32A9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1.31-1.57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2.21-2.47</w:t>
            </w:r>
          </w:p>
        </w:tc>
        <w:tc>
          <w:tcPr>
            <w:tcW w:w="1961" w:type="dxa"/>
          </w:tcPr>
          <w:p w14:paraId="73DD717E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≤1.30; ≥2.48</w:t>
            </w:r>
          </w:p>
        </w:tc>
      </w:tr>
      <w:tr w:rsidR="00AE4933" w14:paraId="6EC426A6" w14:textId="77777777" w:rsidTr="006818F7">
        <w:tc>
          <w:tcPr>
            <w:tcW w:w="560" w:type="dxa"/>
            <w:vMerge w:val="restart"/>
          </w:tcPr>
          <w:p w14:paraId="7532C1AB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02" w:type="dxa"/>
          </w:tcPr>
          <w:p w14:paraId="373CB3A9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2EC51BA9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1.86-1.94</w:t>
            </w:r>
          </w:p>
        </w:tc>
        <w:tc>
          <w:tcPr>
            <w:tcW w:w="2225" w:type="dxa"/>
          </w:tcPr>
          <w:p w14:paraId="5AC2DDE3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1.59-1.85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1.95-2.21</w:t>
            </w:r>
          </w:p>
        </w:tc>
        <w:tc>
          <w:tcPr>
            <w:tcW w:w="2268" w:type="dxa"/>
          </w:tcPr>
          <w:p w14:paraId="00C72FDA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1.32-1.58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2.22-2.48</w:t>
            </w:r>
          </w:p>
        </w:tc>
        <w:tc>
          <w:tcPr>
            <w:tcW w:w="1961" w:type="dxa"/>
          </w:tcPr>
          <w:p w14:paraId="74835E43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≤1.31; ≥2.49</w:t>
            </w:r>
          </w:p>
        </w:tc>
      </w:tr>
      <w:tr w:rsidR="00AE4933" w14:paraId="2405562D" w14:textId="77777777" w:rsidTr="006818F7">
        <w:tc>
          <w:tcPr>
            <w:tcW w:w="560" w:type="dxa"/>
            <w:vMerge/>
          </w:tcPr>
          <w:p w14:paraId="760BB2DA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39D93B79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5DCB688C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1.89-1.97</w:t>
            </w:r>
          </w:p>
        </w:tc>
        <w:tc>
          <w:tcPr>
            <w:tcW w:w="2225" w:type="dxa"/>
          </w:tcPr>
          <w:p w14:paraId="5F76A9A9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1.62-1.88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1.98-2.24</w:t>
            </w:r>
          </w:p>
        </w:tc>
        <w:tc>
          <w:tcPr>
            <w:tcW w:w="2268" w:type="dxa"/>
          </w:tcPr>
          <w:p w14:paraId="66579A53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1.35-1.61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2.25-2.51</w:t>
            </w:r>
          </w:p>
        </w:tc>
        <w:tc>
          <w:tcPr>
            <w:tcW w:w="1961" w:type="dxa"/>
          </w:tcPr>
          <w:p w14:paraId="49C84B80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≤1.34; ≥2.52</w:t>
            </w:r>
          </w:p>
        </w:tc>
      </w:tr>
      <w:tr w:rsidR="00AE4933" w14:paraId="1EA376B0" w14:textId="77777777" w:rsidTr="006818F7">
        <w:tc>
          <w:tcPr>
            <w:tcW w:w="560" w:type="dxa"/>
            <w:vMerge w:val="restart"/>
          </w:tcPr>
          <w:p w14:paraId="7BC7CCAB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02" w:type="dxa"/>
          </w:tcPr>
          <w:p w14:paraId="3B03B189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511" w:type="dxa"/>
          </w:tcPr>
          <w:p w14:paraId="17BEA086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1.90-1.98</w:t>
            </w:r>
          </w:p>
        </w:tc>
        <w:tc>
          <w:tcPr>
            <w:tcW w:w="2225" w:type="dxa"/>
          </w:tcPr>
          <w:p w14:paraId="072100A9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1.63-1.89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1.99-2.25</w:t>
            </w:r>
          </w:p>
        </w:tc>
        <w:tc>
          <w:tcPr>
            <w:tcW w:w="2268" w:type="dxa"/>
          </w:tcPr>
          <w:p w14:paraId="18230DEB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1.37-1.62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2.26-2.52</w:t>
            </w:r>
          </w:p>
        </w:tc>
        <w:tc>
          <w:tcPr>
            <w:tcW w:w="1961" w:type="dxa"/>
          </w:tcPr>
          <w:p w14:paraId="13D99E88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≤1.36; ≥2.53</w:t>
            </w:r>
          </w:p>
        </w:tc>
      </w:tr>
      <w:tr w:rsidR="00AE4933" w14:paraId="655C8A9A" w14:textId="77777777" w:rsidTr="006818F7">
        <w:tc>
          <w:tcPr>
            <w:tcW w:w="560" w:type="dxa"/>
            <w:vMerge/>
          </w:tcPr>
          <w:p w14:paraId="000D0905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</w:tcPr>
          <w:p w14:paraId="0F1FB872" w14:textId="77777777" w:rsidR="00AE4933" w:rsidRPr="00233707" w:rsidRDefault="00AE4933" w:rsidP="006A7FB6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</w:p>
        </w:tc>
        <w:tc>
          <w:tcPr>
            <w:tcW w:w="1511" w:type="dxa"/>
          </w:tcPr>
          <w:p w14:paraId="4EF3A6A9" w14:textId="77777777" w:rsidR="00AE4933" w:rsidRPr="00233707" w:rsidRDefault="00AE4933" w:rsidP="006818F7">
            <w:pPr>
              <w:ind w:right="74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1.93-2.01</w:t>
            </w:r>
          </w:p>
        </w:tc>
        <w:tc>
          <w:tcPr>
            <w:tcW w:w="2225" w:type="dxa"/>
          </w:tcPr>
          <w:p w14:paraId="744D8032" w14:textId="77777777" w:rsidR="00AE4933" w:rsidRPr="00233707" w:rsidRDefault="00AE4933" w:rsidP="006818F7">
            <w:pPr>
              <w:ind w:right="33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1.66-1.92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2.02-2.28</w:t>
            </w:r>
          </w:p>
        </w:tc>
        <w:tc>
          <w:tcPr>
            <w:tcW w:w="2268" w:type="dxa"/>
          </w:tcPr>
          <w:p w14:paraId="5C3BEDE1" w14:textId="77777777" w:rsidR="00AE4933" w:rsidRPr="00233707" w:rsidRDefault="00AE4933" w:rsidP="006818F7">
            <w:pPr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1.39-1.66</w:t>
            </w:r>
            <w:proofErr w:type="gramEnd"/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; 2.29-2.55</w:t>
            </w:r>
          </w:p>
        </w:tc>
        <w:tc>
          <w:tcPr>
            <w:tcW w:w="1961" w:type="dxa"/>
          </w:tcPr>
          <w:p w14:paraId="0221CA5A" w14:textId="77777777" w:rsidR="00AE4933" w:rsidRPr="00233707" w:rsidRDefault="00AE4933" w:rsidP="006818F7">
            <w:pPr>
              <w:ind w:right="317"/>
              <w:jc w:val="center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707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val="ru-RU"/>
              </w:rPr>
              <w:t>≤1.38; ≥2.56</w:t>
            </w:r>
          </w:p>
        </w:tc>
      </w:tr>
    </w:tbl>
    <w:p w14:paraId="2A3E20B9" w14:textId="77777777" w:rsidR="00AE4933" w:rsidRPr="002F632A" w:rsidRDefault="00AE4933" w:rsidP="00AE4933">
      <w:pPr>
        <w:spacing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bookmarkEnd w:id="4"/>
    <w:p w14:paraId="2C7A1D78" w14:textId="31F8B7AD" w:rsidR="00AE4933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медико-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педагогічного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контролю занять з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найчастіше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такі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характеризують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фізіологічний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систем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Це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насамперед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затримкою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зміною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просторі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з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навантаженням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2797508" w14:textId="77777777" w:rsidR="00AE4933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1D834FD8" w14:textId="77777777" w:rsidR="00AE4933" w:rsidRPr="003B6C1C" w:rsidRDefault="00AE4933" w:rsidP="00AE493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із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затримкою</w:t>
      </w:r>
      <w:proofErr w:type="spellEnd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B6C1C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дихання</w:t>
      </w:r>
      <w:proofErr w:type="spellEnd"/>
    </w:p>
    <w:p w14:paraId="519AC9E4" w14:textId="77777777" w:rsidR="00AE4933" w:rsidRPr="008A57D5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Проба </w:t>
      </w:r>
      <w:proofErr w:type="spellStart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із</w:t>
      </w:r>
      <w:proofErr w:type="spellEnd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затримкою</w:t>
      </w:r>
      <w:proofErr w:type="spellEnd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під</w:t>
      </w:r>
      <w:proofErr w:type="spellEnd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час </w:t>
      </w:r>
      <w:proofErr w:type="spellStart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вдиху</w:t>
      </w:r>
      <w:proofErr w:type="spellEnd"/>
      <w:r w:rsidRPr="002F632A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F632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(проба Штанге)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вихідному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відпочинку</w:t>
      </w:r>
      <w:proofErr w:type="spellEnd"/>
      <w:r w:rsidRPr="00590B8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5-7</w:t>
      </w:r>
      <w:proofErr w:type="gram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Обстежуваний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зробити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глибокий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(але не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максимальний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вдих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затримати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якомога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довше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стискуючи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ніс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пальцями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 перерви 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відлічують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секундоміром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590B8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момент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секундомір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зупиняють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Ця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проба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</w:t>
      </w:r>
      <w:r w:rsidRPr="00590B8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наступними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критеріями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: 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дітей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підлітків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віці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6-18</w:t>
      </w:r>
      <w:proofErr w:type="gram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років</w:t>
      </w:r>
      <w:proofErr w:type="spellEnd"/>
      <w:r w:rsidRPr="00590B8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межах</w:t>
      </w:r>
      <w:r w:rsidRPr="00590B8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16-55 секунд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нетренованих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дорослих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чоловіків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590B8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середньому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40-60 секунд, 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жінок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– 30-40 секунд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590B8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спортсменів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збільшується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діапазоні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60-120</w:t>
      </w:r>
      <w:proofErr w:type="gram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секунд</w:t>
      </w:r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чоловіків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40-95 секунд 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жінок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кровообігу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анеміях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зменшується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A40010D" w14:textId="77777777" w:rsidR="00AE4933" w:rsidRPr="008A57D5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Проба </w:t>
      </w:r>
      <w:proofErr w:type="spellStart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із</w:t>
      </w:r>
      <w:proofErr w:type="spellEnd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затримкою</w:t>
      </w:r>
      <w:proofErr w:type="spellEnd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дихання</w:t>
      </w:r>
      <w:proofErr w:type="spellEnd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під</w:t>
      </w:r>
      <w:proofErr w:type="spellEnd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час </w:t>
      </w:r>
      <w:proofErr w:type="spellStart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видиху</w:t>
      </w:r>
      <w:proofErr w:type="spellEnd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A57D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(проба </w:t>
      </w:r>
      <w:proofErr w:type="spellStart"/>
      <w:r w:rsidRPr="008A57D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Генч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8A57D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умови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звичайного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(не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глибокого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видиху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перерви 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відзначається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секундоміром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Секундомір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зупиняють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момент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час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здорових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нетренованих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затримка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межах </w:t>
      </w:r>
      <w:proofErr w:type="gram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25-40</w:t>
      </w:r>
      <w:proofErr w:type="gram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секунд 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чоловіків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15-30 секунд</w:t>
      </w:r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– 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жінок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спортсменів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спостерігають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вищі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показника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gram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50-60</w:t>
      </w:r>
      <w:proofErr w:type="gram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секунд 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чоловіків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30-50 секунд у </w:t>
      </w:r>
      <w:proofErr w:type="spellStart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жінок</w:t>
      </w:r>
      <w:proofErr w:type="spellEnd"/>
      <w:r w:rsidRPr="00B42A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447525AA" w14:textId="77777777" w:rsidR="00AE4933" w:rsidRPr="002F632A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відзначити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що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функціональні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затримкою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дихання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характеризують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значній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мірі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функціональні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можливості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серцево-судинної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системи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наявності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стані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скорочується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50%</w:t>
      </w:r>
      <w:r w:rsidRPr="008A57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Спроможність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тривалої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певним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чином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та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потужності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дихальних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м’язів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тому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апнотичних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суттєво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погіршуються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захворюваннях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дихальної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Проба Штанге також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відображає</w:t>
      </w:r>
      <w:proofErr w:type="spellEnd"/>
      <w:r w:rsidRPr="008A57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стійкість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недостачі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кисню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значній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мірі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</w:t>
      </w:r>
      <w:proofErr w:type="spellEnd"/>
      <w:r w:rsidRPr="008A57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генотипу та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вольових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якостей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обстежуваного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в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деяких</w:t>
      </w:r>
      <w:proofErr w:type="spellEnd"/>
      <w:r w:rsidRPr="008A57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знижувати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практичну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цінність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апнотичних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проб.</w:t>
      </w:r>
    </w:p>
    <w:p w14:paraId="5D32D1B5" w14:textId="77777777" w:rsidR="00AE4933" w:rsidRPr="008A57D5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Тест </w:t>
      </w:r>
      <w:proofErr w:type="spellStart"/>
      <w:r w:rsidRPr="008A57D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Серкіна-Сабразе</w:t>
      </w:r>
      <w:proofErr w:type="spellEnd"/>
      <w:r w:rsidRPr="002F632A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також є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різновидом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апнотичних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і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наступний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порядок виконання:</w:t>
      </w:r>
      <w:r w:rsidRPr="002F632A">
        <w:rPr>
          <w:rFonts w:ascii="Times New Roman" w:eastAsia="TimesNewRoman" w:hAnsi="Times New Roman" w:cs="Times New Roman"/>
          <w:color w:val="FFFFFF"/>
          <w:sz w:val="28"/>
          <w:szCs w:val="28"/>
        </w:rPr>
        <w:t>00</w:t>
      </w:r>
    </w:p>
    <w:p w14:paraId="01A3FCA0" w14:textId="77777777" w:rsidR="00AE4933" w:rsidRPr="002F632A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затримка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(1 фаза);</w:t>
      </w:r>
    </w:p>
    <w:p w14:paraId="0B1F40DF" w14:textId="77777777" w:rsidR="00AE4933" w:rsidRPr="002F632A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присідань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30 секунд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відразу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затримка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(2 фаза);</w:t>
      </w:r>
    </w:p>
    <w:p w14:paraId="49086E13" w14:textId="77777777" w:rsidR="00AE4933" w:rsidRPr="002F632A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3) через 1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виконується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затримка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вдиху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сидячи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(3 фаза).</w:t>
      </w:r>
    </w:p>
    <w:p w14:paraId="6373A3AF" w14:textId="01D1DC9B" w:rsidR="00AE4933" w:rsidRPr="002F632A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Секундоміром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заміряють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</w:t>
      </w:r>
      <w:r w:rsidRPr="008A57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здійснені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8A57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послідовності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вищезазначених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фаз.</w:t>
      </w:r>
      <w:r w:rsidRPr="008A57D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Інтерпретація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тесту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Серкіна-Сабразе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згідно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даних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наведені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18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6</w:t>
      </w:r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65B4B63" w14:textId="4D138BA4" w:rsidR="00AE4933" w:rsidRPr="0095018E" w:rsidRDefault="00AE4933" w:rsidP="00390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18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6</w:t>
      </w:r>
    </w:p>
    <w:p w14:paraId="5767F47F" w14:textId="77777777" w:rsidR="00AE4933" w:rsidRPr="002F632A" w:rsidRDefault="00AE4933" w:rsidP="0039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пристосованості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навантажень</w:t>
      </w:r>
      <w:proofErr w:type="spellEnd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тестом</w:t>
      </w:r>
    </w:p>
    <w:p w14:paraId="4A1B9CAE" w14:textId="77777777" w:rsidR="00AE4933" w:rsidRDefault="00AE4933" w:rsidP="0039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2F632A">
        <w:rPr>
          <w:rFonts w:ascii="Times New Roman" w:eastAsia="TimesNewRoman" w:hAnsi="Times New Roman" w:cs="Times New Roman"/>
          <w:color w:val="000000"/>
          <w:sz w:val="28"/>
          <w:szCs w:val="28"/>
        </w:rPr>
        <w:t>Серкіна-Сабразе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701"/>
        <w:gridCol w:w="1553"/>
      </w:tblGrid>
      <w:tr w:rsidR="00AE4933" w:rsidRPr="005B5557" w14:paraId="6A2FC619" w14:textId="77777777" w:rsidTr="006A7FB6">
        <w:tc>
          <w:tcPr>
            <w:tcW w:w="4106" w:type="dxa"/>
          </w:tcPr>
          <w:p w14:paraId="2056924F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Ступінь</w:t>
            </w:r>
            <w:proofErr w:type="spellEnd"/>
            <w:r w:rsidRPr="005B555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пристосованості</w:t>
            </w:r>
            <w:proofErr w:type="spellEnd"/>
            <w:r w:rsidRPr="005B5557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фізичних</w:t>
            </w:r>
            <w:proofErr w:type="spellEnd"/>
            <w:r w:rsidRPr="005B555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навантажень</w:t>
            </w:r>
            <w:proofErr w:type="spellEnd"/>
          </w:p>
        </w:tc>
        <w:tc>
          <w:tcPr>
            <w:tcW w:w="1985" w:type="dxa"/>
          </w:tcPr>
          <w:p w14:paraId="3437A509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5557">
              <w:rPr>
                <w:rFonts w:ascii="Times New Roman" w:hAnsi="Times New Roman" w:cs="Times New Roman"/>
                <w:lang w:val="ru-RU"/>
              </w:rPr>
              <w:t>1 фаза</w:t>
            </w:r>
          </w:p>
        </w:tc>
        <w:tc>
          <w:tcPr>
            <w:tcW w:w="1701" w:type="dxa"/>
          </w:tcPr>
          <w:p w14:paraId="55C316EC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5557">
              <w:rPr>
                <w:rFonts w:ascii="Times New Roman" w:hAnsi="Times New Roman" w:cs="Times New Roman"/>
                <w:lang w:val="ru-RU"/>
              </w:rPr>
              <w:t>2 фаза</w:t>
            </w:r>
          </w:p>
        </w:tc>
        <w:tc>
          <w:tcPr>
            <w:tcW w:w="1553" w:type="dxa"/>
          </w:tcPr>
          <w:p w14:paraId="38532E9B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5557">
              <w:rPr>
                <w:rFonts w:ascii="Times New Roman" w:hAnsi="Times New Roman" w:cs="Times New Roman"/>
                <w:lang w:val="ru-RU"/>
              </w:rPr>
              <w:t>3 фаза</w:t>
            </w:r>
          </w:p>
        </w:tc>
      </w:tr>
      <w:tr w:rsidR="00AE4933" w:rsidRPr="005B5557" w14:paraId="0A4FE551" w14:textId="77777777" w:rsidTr="006A7FB6">
        <w:tc>
          <w:tcPr>
            <w:tcW w:w="4106" w:type="dxa"/>
          </w:tcPr>
          <w:p w14:paraId="45CFAC76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5557">
              <w:rPr>
                <w:rFonts w:ascii="Times New Roman" w:hAnsi="Times New Roman" w:cs="Times New Roman"/>
                <w:lang w:val="ru-RU"/>
              </w:rPr>
              <w:t xml:space="preserve">Добре </w:t>
            </w: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треновані</w:t>
            </w:r>
            <w:proofErr w:type="spellEnd"/>
          </w:p>
        </w:tc>
        <w:tc>
          <w:tcPr>
            <w:tcW w:w="1985" w:type="dxa"/>
          </w:tcPr>
          <w:p w14:paraId="4B17FC9D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B5557">
              <w:rPr>
                <w:rFonts w:ascii="Times New Roman" w:hAnsi="Times New Roman" w:cs="Times New Roman"/>
                <w:lang w:val="ru-RU"/>
              </w:rPr>
              <w:t>60-90</w:t>
            </w:r>
            <w:proofErr w:type="gramEnd"/>
            <w:r w:rsidRPr="005B5557"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  <w:tc>
          <w:tcPr>
            <w:tcW w:w="1701" w:type="dxa"/>
          </w:tcPr>
          <w:p w14:paraId="7242F364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Близько</w:t>
            </w:r>
            <w:proofErr w:type="spellEnd"/>
            <w:r w:rsidRPr="005B5557">
              <w:rPr>
                <w:rFonts w:ascii="Times New Roman" w:hAnsi="Times New Roman" w:cs="Times New Roman"/>
                <w:lang w:val="ru-RU"/>
              </w:rPr>
              <w:t xml:space="preserve"> 50 %</w:t>
            </w:r>
          </w:p>
        </w:tc>
        <w:tc>
          <w:tcPr>
            <w:tcW w:w="1553" w:type="dxa"/>
          </w:tcPr>
          <w:p w14:paraId="0D8033CD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B5557">
              <w:rPr>
                <w:rFonts w:ascii="Times New Roman" w:hAnsi="Times New Roman" w:cs="Times New Roman"/>
                <w:lang w:val="ru-RU"/>
              </w:rPr>
              <w:t>100-110</w:t>
            </w:r>
            <w:proofErr w:type="gramEnd"/>
            <w:r w:rsidRPr="005B5557">
              <w:rPr>
                <w:rFonts w:ascii="Times New Roman" w:hAnsi="Times New Roman" w:cs="Times New Roman"/>
                <w:lang w:val="ru-RU"/>
              </w:rPr>
              <w:t xml:space="preserve"> %</w:t>
            </w:r>
          </w:p>
        </w:tc>
      </w:tr>
      <w:tr w:rsidR="00AE4933" w:rsidRPr="005B5557" w14:paraId="7B40C2FE" w14:textId="77777777" w:rsidTr="006A7FB6">
        <w:tc>
          <w:tcPr>
            <w:tcW w:w="4106" w:type="dxa"/>
          </w:tcPr>
          <w:p w14:paraId="361CFD7D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5557">
              <w:rPr>
                <w:rFonts w:ascii="Times New Roman" w:hAnsi="Times New Roman" w:cs="Times New Roman"/>
                <w:lang w:val="ru-RU"/>
              </w:rPr>
              <w:t xml:space="preserve">Практично </w:t>
            </w: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здорові</w:t>
            </w:r>
            <w:proofErr w:type="spellEnd"/>
          </w:p>
        </w:tc>
        <w:tc>
          <w:tcPr>
            <w:tcW w:w="1985" w:type="dxa"/>
          </w:tcPr>
          <w:p w14:paraId="11356C92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B5557">
              <w:rPr>
                <w:rFonts w:ascii="Times New Roman" w:hAnsi="Times New Roman" w:cs="Times New Roman"/>
                <w:lang w:val="ru-RU"/>
              </w:rPr>
              <w:t>45-60</w:t>
            </w:r>
            <w:proofErr w:type="gramEnd"/>
            <w:r w:rsidRPr="005B5557"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  <w:tc>
          <w:tcPr>
            <w:tcW w:w="1701" w:type="dxa"/>
          </w:tcPr>
          <w:p w14:paraId="4992CD71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Близько</w:t>
            </w:r>
            <w:proofErr w:type="spellEnd"/>
            <w:r w:rsidRPr="005B5557">
              <w:rPr>
                <w:rFonts w:ascii="Times New Roman" w:hAnsi="Times New Roman" w:cs="Times New Roman"/>
                <w:lang w:val="ru-RU"/>
              </w:rPr>
              <w:t xml:space="preserve"> 50 %</w:t>
            </w:r>
          </w:p>
        </w:tc>
        <w:tc>
          <w:tcPr>
            <w:tcW w:w="1553" w:type="dxa"/>
          </w:tcPr>
          <w:p w14:paraId="1FE04EEE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B5557">
              <w:rPr>
                <w:rFonts w:ascii="Times New Roman" w:hAnsi="Times New Roman" w:cs="Times New Roman"/>
                <w:lang w:val="ru-RU"/>
              </w:rPr>
              <w:t>90-100</w:t>
            </w:r>
            <w:proofErr w:type="gramEnd"/>
            <w:r w:rsidRPr="005B5557">
              <w:rPr>
                <w:rFonts w:ascii="Times New Roman" w:hAnsi="Times New Roman" w:cs="Times New Roman"/>
                <w:lang w:val="ru-RU"/>
              </w:rPr>
              <w:t xml:space="preserve"> %</w:t>
            </w:r>
          </w:p>
        </w:tc>
      </w:tr>
      <w:tr w:rsidR="00AE4933" w:rsidRPr="005B5557" w14:paraId="03640CA2" w14:textId="77777777" w:rsidTr="006A7FB6">
        <w:tc>
          <w:tcPr>
            <w:tcW w:w="4106" w:type="dxa"/>
          </w:tcPr>
          <w:p w14:paraId="7E8595DD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5557">
              <w:rPr>
                <w:rFonts w:ascii="Times New Roman" w:hAnsi="Times New Roman" w:cs="Times New Roman"/>
                <w:lang w:val="ru-RU"/>
              </w:rPr>
              <w:t xml:space="preserve">Особи з </w:t>
            </w: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низьким</w:t>
            </w:r>
            <w:proofErr w:type="spellEnd"/>
            <w:r w:rsidRPr="005B555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ступенем</w:t>
            </w:r>
            <w:proofErr w:type="spellEnd"/>
            <w:r w:rsidRPr="005B555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B5557">
              <w:rPr>
                <w:rFonts w:ascii="Times New Roman" w:hAnsi="Times New Roman" w:cs="Times New Roman"/>
                <w:lang w:val="ru-RU"/>
              </w:rPr>
              <w:t>пристосованості</w:t>
            </w:r>
            <w:proofErr w:type="spellEnd"/>
          </w:p>
        </w:tc>
        <w:tc>
          <w:tcPr>
            <w:tcW w:w="1985" w:type="dxa"/>
          </w:tcPr>
          <w:p w14:paraId="65D32868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B5557">
              <w:rPr>
                <w:rFonts w:ascii="Times New Roman" w:hAnsi="Times New Roman" w:cs="Times New Roman"/>
                <w:lang w:val="ru-RU"/>
              </w:rPr>
              <w:t>20-45</w:t>
            </w:r>
            <w:proofErr w:type="gramEnd"/>
            <w:r w:rsidRPr="005B5557">
              <w:rPr>
                <w:rFonts w:ascii="Times New Roman" w:hAnsi="Times New Roman" w:cs="Times New Roman"/>
                <w:lang w:val="ru-RU"/>
              </w:rPr>
              <w:t xml:space="preserve"> с</w:t>
            </w:r>
          </w:p>
        </w:tc>
        <w:tc>
          <w:tcPr>
            <w:tcW w:w="1701" w:type="dxa"/>
          </w:tcPr>
          <w:p w14:paraId="70C217FD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5557">
              <w:rPr>
                <w:rFonts w:ascii="Times New Roman" w:hAnsi="Times New Roman" w:cs="Times New Roman"/>
                <w:lang w:val="ru-RU"/>
              </w:rPr>
              <w:t>3%</w:t>
            </w:r>
          </w:p>
        </w:tc>
        <w:tc>
          <w:tcPr>
            <w:tcW w:w="1553" w:type="dxa"/>
          </w:tcPr>
          <w:p w14:paraId="611F2890" w14:textId="77777777" w:rsidR="00AE4933" w:rsidRPr="005B5557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B5557">
              <w:rPr>
                <w:rFonts w:ascii="Times New Roman" w:hAnsi="Times New Roman" w:cs="Times New Roman"/>
                <w:lang w:val="ru-RU"/>
              </w:rPr>
              <w:t>70-80</w:t>
            </w:r>
            <w:proofErr w:type="gramEnd"/>
            <w:r w:rsidRPr="005B5557">
              <w:rPr>
                <w:rFonts w:ascii="Times New Roman" w:hAnsi="Times New Roman" w:cs="Times New Roman"/>
                <w:lang w:val="ru-RU"/>
              </w:rPr>
              <w:t xml:space="preserve"> %</w:t>
            </w:r>
          </w:p>
        </w:tc>
      </w:tr>
    </w:tbl>
    <w:p w14:paraId="3045610B" w14:textId="77777777" w:rsidR="00AE4933" w:rsidRDefault="00AE4933" w:rsidP="00AE4933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0A8B3B1" w14:textId="77777777" w:rsidR="00AE4933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другої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третьої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фаз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представлені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відношенню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першої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(стану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с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покою).</w:t>
      </w:r>
    </w:p>
    <w:p w14:paraId="717B1D29" w14:textId="77777777" w:rsidR="00AE4933" w:rsidRPr="00844F11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4D4D31C0" w14:textId="2D191295" w:rsidR="00AE4933" w:rsidRPr="00AE4933" w:rsidRDefault="00AE4933" w:rsidP="00AE4933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Функціональні</w:t>
      </w:r>
      <w:proofErr w:type="spellEnd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зі</w:t>
      </w:r>
      <w:proofErr w:type="spellEnd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зміною</w:t>
      </w:r>
      <w:proofErr w:type="spellEnd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положення</w:t>
      </w:r>
      <w:proofErr w:type="spellEnd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Pr="00AE4933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просторі</w:t>
      </w:r>
      <w:proofErr w:type="spellEnd"/>
    </w:p>
    <w:p w14:paraId="257A7728" w14:textId="77777777" w:rsidR="00AE4933" w:rsidRPr="00844F11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844F11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Ортостатична</w:t>
      </w:r>
      <w:proofErr w:type="spellEnd"/>
      <w:r w:rsidRPr="00844F11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проба</w:t>
      </w:r>
      <w:r w:rsidRPr="00844F11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лежачи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ніж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досліджуваного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рахують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пульсу за 10 сек. і результат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помножують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6;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тим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самим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вихідну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цього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досліджуваний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повільно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(за </w:t>
      </w:r>
      <w:proofErr w:type="gram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2-3</w:t>
      </w:r>
      <w:proofErr w:type="gram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сек.)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встає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переходу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вертикальне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через 1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стояння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нього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знов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пульсом частоту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хвилину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639FC4A" w14:textId="77777777" w:rsidR="00AE4933" w:rsidRPr="00844F11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844F11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Кліностатичну</w:t>
      </w:r>
      <w:proofErr w:type="spellEnd"/>
      <w:r w:rsidRPr="00844F11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пробу</w:t>
      </w:r>
      <w:r w:rsidRPr="00844F11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зворотному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порядку: ЧСС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хв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спокійного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стояння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потім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‒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повільного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переходу 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лежачи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і,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нарешті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перебування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протягом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1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хвилини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горизонтальному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Пульс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рахують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також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 10-секундні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інтервали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часу,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помножуючи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результат на 6,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тобто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виміряють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частоту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1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хвилину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9909D04" w14:textId="4504F603" w:rsidR="00AE4933" w:rsidRPr="00B07F83" w:rsidRDefault="00AE4933" w:rsidP="00AE4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>101</w:t>
      </w:r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Функціональні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проби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зі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змінами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положення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дозволяють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оцінювати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функціональний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стан ВНС ‒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симпатичної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ортостатична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проба) і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парасимпатичної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кліностатична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проба) ланок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автономної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нервової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системи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Інтерпретація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орто- і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кліностатичної</w:t>
      </w:r>
      <w:proofErr w:type="spellEnd"/>
      <w:r w:rsidRPr="00844F11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проб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безпосередньої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реакції</w:t>
      </w:r>
      <w:proofErr w:type="spellEnd"/>
      <w:r w:rsidRPr="00844F11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зміну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просторі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вказує</w:t>
      </w:r>
      <w:proofErr w:type="spellEnd"/>
      <w:r w:rsidRPr="00844F11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головним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чином на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сенситивність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чутливість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реактивність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)</w:t>
      </w:r>
      <w:r w:rsidRPr="00844F11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симпатичного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чи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парасимпатичного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відділів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ВНС.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Дослідження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тонусу ВНС за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реактивними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змінами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її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симпатичної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парасимпатичної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нервової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регуляції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ґ</w:t>
      </w:r>
      <w:r w:rsidRPr="001D49E8">
        <w:rPr>
          <w:rFonts w:ascii="Times New Roman" w:eastAsia="Yu Gothic" w:hAnsi="Times New Roman" w:cs="Times New Roman"/>
          <w:b/>
          <w:bCs/>
          <w:color w:val="000000"/>
          <w:sz w:val="28"/>
          <w:szCs w:val="28"/>
        </w:rPr>
        <w:t>рунтуєть</w:t>
      </w:r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ся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</w:t>
      </w:r>
      <w:r w:rsidR="00042055"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є</w:t>
      </w:r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страції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динаміки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змін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ЧСС</w:t>
      </w:r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через 1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хвилину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після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зміни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положення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людини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у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просторі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у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відповідності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до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результатів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ортостатичної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кліностотичної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проб</w:t>
      </w:r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 xml:space="preserve"> </w:t>
      </w:r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підвищення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тонусу того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чи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іншого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виду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вегетативної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нервової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FFFFFF"/>
          <w:sz w:val="28"/>
          <w:szCs w:val="28"/>
        </w:rPr>
        <w:t xml:space="preserve"> </w:t>
      </w:r>
      <w:proofErr w:type="spellStart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регуляції</w:t>
      </w:r>
      <w:proofErr w:type="spellEnd"/>
      <w:r w:rsidRPr="001D49E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).</w:t>
      </w:r>
      <w:r w:rsidRPr="00B07F83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наведені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дані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прискорення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B07F83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пульсу (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ортостатична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проба) і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уповільнення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пульсу</w:t>
      </w:r>
      <w:r w:rsidRPr="00B07F83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(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кліностатична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проба) з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позначенням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виразності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реактивних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B07F83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BE47F24" w14:textId="2FE8735E" w:rsidR="00AE4933" w:rsidRPr="0095018E" w:rsidRDefault="00AE4933" w:rsidP="00390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>Таблиця</w:t>
      </w:r>
      <w:proofErr w:type="spellEnd"/>
      <w:r w:rsidRPr="00844F1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="0095018E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7</w:t>
      </w:r>
    </w:p>
    <w:p w14:paraId="27EE5601" w14:textId="77777777" w:rsidR="00AE4933" w:rsidRPr="00B07F83" w:rsidRDefault="00AE4933" w:rsidP="0039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показників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реактивних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змін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вегетативної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нервової</w:t>
      </w:r>
      <w:proofErr w:type="spellEnd"/>
    </w:p>
    <w:p w14:paraId="7D663A9A" w14:textId="77777777" w:rsidR="00AE4933" w:rsidRPr="00B07F83" w:rsidRDefault="00AE4933" w:rsidP="0039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абсолютними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значеннями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ортостатичної</w:t>
      </w:r>
      <w:proofErr w:type="spellEnd"/>
    </w:p>
    <w:p w14:paraId="55E328C5" w14:textId="77777777" w:rsidR="00AE4933" w:rsidRDefault="00AE4933" w:rsidP="003902CC">
      <w:pPr>
        <w:spacing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>кліностатичної</w:t>
      </w:r>
      <w:proofErr w:type="spellEnd"/>
      <w:r w:rsidRPr="00B07F8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353"/>
        <w:gridCol w:w="1762"/>
        <w:gridCol w:w="3115"/>
      </w:tblGrid>
      <w:tr w:rsidR="00AE4933" w:rsidRPr="00022DAD" w14:paraId="02B87539" w14:textId="77777777" w:rsidTr="006A7FB6">
        <w:tc>
          <w:tcPr>
            <w:tcW w:w="4468" w:type="dxa"/>
            <w:gridSpan w:val="2"/>
          </w:tcPr>
          <w:p w14:paraId="069FED1B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Ортостатична</w:t>
            </w:r>
            <w:proofErr w:type="spellEnd"/>
            <w:r w:rsidRPr="00367951">
              <w:rPr>
                <w:rFonts w:ascii="Times New Roman" w:hAnsi="Times New Roman" w:cs="Times New Roman"/>
                <w:lang w:val="ru-RU"/>
              </w:rPr>
              <w:t xml:space="preserve"> проба, </w:t>
            </w: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прискорення</w:t>
            </w:r>
            <w:proofErr w:type="spellEnd"/>
            <w:r w:rsidRPr="00367951">
              <w:rPr>
                <w:rFonts w:ascii="Times New Roman" w:hAnsi="Times New Roman" w:cs="Times New Roman"/>
                <w:lang w:val="ru-RU"/>
              </w:rPr>
              <w:t xml:space="preserve"> пульсу, </w:t>
            </w:r>
            <w:proofErr w:type="gramStart"/>
            <w:r w:rsidRPr="00367951">
              <w:rPr>
                <w:rFonts w:ascii="Times New Roman" w:hAnsi="Times New Roman" w:cs="Times New Roman"/>
                <w:lang w:val="ru-RU"/>
              </w:rPr>
              <w:t>уд./</w:t>
            </w:r>
            <w:proofErr w:type="spellStart"/>
            <w:proofErr w:type="gramEnd"/>
            <w:r w:rsidRPr="00367951">
              <w:rPr>
                <w:rFonts w:ascii="Times New Roman" w:hAnsi="Times New Roman" w:cs="Times New Roman"/>
                <w:lang w:val="ru-RU"/>
              </w:rPr>
              <w:t>хв</w:t>
            </w:r>
            <w:proofErr w:type="spellEnd"/>
            <w:r w:rsidRPr="0036795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77" w:type="dxa"/>
            <w:gridSpan w:val="2"/>
          </w:tcPr>
          <w:p w14:paraId="4057C8A0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Кліностатична</w:t>
            </w:r>
            <w:proofErr w:type="spellEnd"/>
            <w:r w:rsidRPr="00367951">
              <w:rPr>
                <w:rFonts w:ascii="Times New Roman" w:hAnsi="Times New Roman" w:cs="Times New Roman"/>
                <w:lang w:val="ru-RU"/>
              </w:rPr>
              <w:t xml:space="preserve"> проба, </w:t>
            </w: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уповільнення</w:t>
            </w:r>
            <w:proofErr w:type="spellEnd"/>
            <w:r w:rsidRPr="00367951">
              <w:rPr>
                <w:rFonts w:ascii="Times New Roman" w:hAnsi="Times New Roman" w:cs="Times New Roman"/>
                <w:lang w:val="ru-RU"/>
              </w:rPr>
              <w:t xml:space="preserve"> пульсу, </w:t>
            </w:r>
            <w:proofErr w:type="gramStart"/>
            <w:r w:rsidRPr="00367951">
              <w:rPr>
                <w:rFonts w:ascii="Times New Roman" w:hAnsi="Times New Roman" w:cs="Times New Roman"/>
                <w:lang w:val="ru-RU"/>
              </w:rPr>
              <w:t>уд./</w:t>
            </w:r>
            <w:proofErr w:type="spellStart"/>
            <w:proofErr w:type="gramEnd"/>
            <w:r w:rsidRPr="00367951">
              <w:rPr>
                <w:rFonts w:ascii="Times New Roman" w:hAnsi="Times New Roman" w:cs="Times New Roman"/>
                <w:lang w:val="ru-RU"/>
              </w:rPr>
              <w:t>хв</w:t>
            </w:r>
            <w:proofErr w:type="spellEnd"/>
            <w:r w:rsidRPr="0036795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E4933" w:rsidRPr="00022DAD" w14:paraId="6418A570" w14:textId="77777777" w:rsidTr="006A7FB6">
        <w:tc>
          <w:tcPr>
            <w:tcW w:w="3115" w:type="dxa"/>
          </w:tcPr>
          <w:p w14:paraId="7975D00A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0-6</w:t>
            </w:r>
          </w:p>
        </w:tc>
        <w:tc>
          <w:tcPr>
            <w:tcW w:w="3115" w:type="dxa"/>
            <w:gridSpan w:val="2"/>
          </w:tcPr>
          <w:p w14:paraId="37BB02A7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 xml:space="preserve">Нормальна </w:t>
            </w: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слабка</w:t>
            </w:r>
            <w:proofErr w:type="spellEnd"/>
          </w:p>
        </w:tc>
        <w:tc>
          <w:tcPr>
            <w:tcW w:w="3115" w:type="dxa"/>
          </w:tcPr>
          <w:p w14:paraId="1C61842E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0-4</w:t>
            </w:r>
          </w:p>
        </w:tc>
      </w:tr>
      <w:tr w:rsidR="00AE4933" w:rsidRPr="00022DAD" w14:paraId="1081953D" w14:textId="77777777" w:rsidTr="006A7FB6">
        <w:tc>
          <w:tcPr>
            <w:tcW w:w="3115" w:type="dxa"/>
          </w:tcPr>
          <w:p w14:paraId="208F9387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7-12</w:t>
            </w:r>
          </w:p>
        </w:tc>
        <w:tc>
          <w:tcPr>
            <w:tcW w:w="3115" w:type="dxa"/>
            <w:gridSpan w:val="2"/>
          </w:tcPr>
          <w:p w14:paraId="3F1B73B7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 xml:space="preserve">Нормальна </w:t>
            </w: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середня</w:t>
            </w:r>
            <w:proofErr w:type="spellEnd"/>
          </w:p>
        </w:tc>
        <w:tc>
          <w:tcPr>
            <w:tcW w:w="3115" w:type="dxa"/>
          </w:tcPr>
          <w:p w14:paraId="1B330CDF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5-8</w:t>
            </w:r>
          </w:p>
        </w:tc>
      </w:tr>
      <w:tr w:rsidR="00AE4933" w:rsidRPr="00022DAD" w14:paraId="36BDF08E" w14:textId="77777777" w:rsidTr="006A7FB6">
        <w:tc>
          <w:tcPr>
            <w:tcW w:w="3115" w:type="dxa"/>
          </w:tcPr>
          <w:p w14:paraId="564710E9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13-18</w:t>
            </w:r>
          </w:p>
        </w:tc>
        <w:tc>
          <w:tcPr>
            <w:tcW w:w="3115" w:type="dxa"/>
            <w:gridSpan w:val="2"/>
          </w:tcPr>
          <w:p w14:paraId="7F60ACFB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Нормальна жива</w:t>
            </w:r>
          </w:p>
        </w:tc>
        <w:tc>
          <w:tcPr>
            <w:tcW w:w="3115" w:type="dxa"/>
          </w:tcPr>
          <w:p w14:paraId="3AD9206E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9-12</w:t>
            </w:r>
          </w:p>
        </w:tc>
      </w:tr>
      <w:tr w:rsidR="00AE4933" w:rsidRPr="00022DAD" w14:paraId="4774923B" w14:textId="77777777" w:rsidTr="006A7FB6">
        <w:tc>
          <w:tcPr>
            <w:tcW w:w="3115" w:type="dxa"/>
          </w:tcPr>
          <w:p w14:paraId="2FC25433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19-24</w:t>
            </w:r>
          </w:p>
        </w:tc>
        <w:tc>
          <w:tcPr>
            <w:tcW w:w="3115" w:type="dxa"/>
            <w:gridSpan w:val="2"/>
          </w:tcPr>
          <w:p w14:paraId="4D24EF7C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Підвищена</w:t>
            </w:r>
            <w:proofErr w:type="spellEnd"/>
            <w:r w:rsidRPr="0036795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слабка</w:t>
            </w:r>
            <w:proofErr w:type="spellEnd"/>
          </w:p>
        </w:tc>
        <w:tc>
          <w:tcPr>
            <w:tcW w:w="3115" w:type="dxa"/>
          </w:tcPr>
          <w:p w14:paraId="1D04426A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13-16</w:t>
            </w:r>
          </w:p>
        </w:tc>
      </w:tr>
      <w:tr w:rsidR="00AE4933" w:rsidRPr="00022DAD" w14:paraId="40C57C81" w14:textId="77777777" w:rsidTr="006A7FB6">
        <w:tc>
          <w:tcPr>
            <w:tcW w:w="3115" w:type="dxa"/>
          </w:tcPr>
          <w:p w14:paraId="5E1AC456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31-35</w:t>
            </w:r>
          </w:p>
        </w:tc>
        <w:tc>
          <w:tcPr>
            <w:tcW w:w="3115" w:type="dxa"/>
            <w:gridSpan w:val="2"/>
          </w:tcPr>
          <w:p w14:paraId="43EB0E74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Підвищена</w:t>
            </w:r>
            <w:proofErr w:type="spellEnd"/>
            <w:r w:rsidRPr="0036795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значно</w:t>
            </w:r>
            <w:proofErr w:type="spellEnd"/>
          </w:p>
        </w:tc>
        <w:tc>
          <w:tcPr>
            <w:tcW w:w="3115" w:type="dxa"/>
          </w:tcPr>
          <w:p w14:paraId="2B96519B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21-24</w:t>
            </w:r>
          </w:p>
        </w:tc>
      </w:tr>
      <w:tr w:rsidR="00AE4933" w:rsidRPr="00022DAD" w14:paraId="2557BFB7" w14:textId="77777777" w:rsidTr="006A7FB6">
        <w:tc>
          <w:tcPr>
            <w:tcW w:w="3115" w:type="dxa"/>
          </w:tcPr>
          <w:p w14:paraId="7346287E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37-42</w:t>
            </w:r>
          </w:p>
        </w:tc>
        <w:tc>
          <w:tcPr>
            <w:tcW w:w="3115" w:type="dxa"/>
            <w:gridSpan w:val="2"/>
          </w:tcPr>
          <w:p w14:paraId="658C5C7D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Підвищена</w:t>
            </w:r>
            <w:proofErr w:type="spellEnd"/>
            <w:r w:rsidRPr="0036795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67951">
              <w:rPr>
                <w:rFonts w:ascii="Times New Roman" w:hAnsi="Times New Roman" w:cs="Times New Roman"/>
                <w:lang w:val="ru-RU"/>
              </w:rPr>
              <w:t>різко</w:t>
            </w:r>
            <w:proofErr w:type="spellEnd"/>
          </w:p>
        </w:tc>
        <w:tc>
          <w:tcPr>
            <w:tcW w:w="3115" w:type="dxa"/>
          </w:tcPr>
          <w:p w14:paraId="54C504D8" w14:textId="77777777" w:rsidR="00AE4933" w:rsidRPr="00367951" w:rsidRDefault="00AE4933" w:rsidP="006A7F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67951">
              <w:rPr>
                <w:rFonts w:ascii="Times New Roman" w:hAnsi="Times New Roman" w:cs="Times New Roman"/>
                <w:lang w:val="ru-RU"/>
              </w:rPr>
              <w:t>25-28</w:t>
            </w:r>
          </w:p>
        </w:tc>
      </w:tr>
    </w:tbl>
    <w:p w14:paraId="3262A2E0" w14:textId="77777777" w:rsidR="00AE4933" w:rsidRDefault="00AE4933" w:rsidP="00AE49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ED375A9" w14:textId="3B1C27B9" w:rsidR="00AE4933" w:rsidRPr="00AE4933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lastRenderedPageBreak/>
        <w:t>Проби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зі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зміною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положення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найчастіше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використовують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дослідження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динаміки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функціонального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стану ВНС при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фізичних</w:t>
      </w:r>
      <w:proofErr w:type="spellEnd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7603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навантаженнях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Повторне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нескладних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виконанні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ортостатичної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кліностатичної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в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занять з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спорту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надає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можливість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попередити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виникнення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особи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стану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перетренованості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при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якому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вегетативній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нервовій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регуляції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виступають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однією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 перших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ознак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ослаблених</w:t>
      </w:r>
      <w:proofErr w:type="spellEnd"/>
      <w:r w:rsidRPr="0014501F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хворих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осіб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після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тривалого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фізичної</w:t>
      </w:r>
      <w:proofErr w:type="spellEnd"/>
      <w:r w:rsidRPr="0014501F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проби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зміною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можуть</w:t>
      </w:r>
      <w:proofErr w:type="spellEnd"/>
      <w:r w:rsidRPr="0014501F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використовуватися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той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період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інші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більш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фізичні</w:t>
      </w:r>
      <w:proofErr w:type="spellEnd"/>
      <w:r w:rsidRPr="0014501F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показані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зв’язку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станом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їх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1450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EE8A15D" w14:textId="77777777" w:rsidR="00AE4933" w:rsidRPr="003B6C1C" w:rsidRDefault="00AE4933" w:rsidP="00AE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77197EDB" w14:textId="77777777" w:rsidR="00A73FA8" w:rsidRPr="007461DA" w:rsidRDefault="00A73FA8" w:rsidP="00A73F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Питання</w:t>
      </w:r>
      <w:proofErr w:type="spellEnd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контролю </w:t>
      </w:r>
      <w:proofErr w:type="spellStart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засвоєння</w:t>
      </w:r>
      <w:proofErr w:type="spellEnd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знань</w:t>
      </w:r>
      <w:proofErr w:type="spellEnd"/>
      <w:r w:rsidRPr="007461D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</w:p>
    <w:p w14:paraId="282490F2" w14:textId="735228D9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Розкрийте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поняття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функціональний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стан» та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зазначте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важливість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врахування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патерну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індивідуальної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специфічної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реактивності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його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зміни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впливом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різних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чинників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1DD95148" w14:textId="58EA8B68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розрізняють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стани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тренуваннях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351007EE" w14:textId="5C17F633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Охарактеризуйте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поетапну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зміну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станів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спортивної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діяльності.</w:t>
      </w:r>
      <w:r w:rsidRPr="00A73FA8">
        <w:rPr>
          <w:rFonts w:ascii="Times New Roman" w:eastAsia="TimesNewRoman" w:hAnsi="Times New Roman" w:cs="Times New Roman"/>
          <w:color w:val="FFFFFF"/>
          <w:sz w:val="28"/>
          <w:szCs w:val="28"/>
        </w:rPr>
        <w:t>6</w:t>
      </w:r>
    </w:p>
    <w:p w14:paraId="430D07F5" w14:textId="3A5FCBE3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завданння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які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вирішуються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під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проб.</w:t>
      </w:r>
    </w:p>
    <w:p w14:paraId="65F71B51" w14:textId="5F82DF02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Назвіть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основні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вимоги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проб.</w:t>
      </w:r>
    </w:p>
    <w:p w14:paraId="53DFE00C" w14:textId="22C51AD3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Зазначте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загальну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схему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проб.</w:t>
      </w:r>
    </w:p>
    <w:p w14:paraId="4EA2FC3B" w14:textId="0AC3ADBF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Опишіть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методологію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функціональних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проб.</w:t>
      </w:r>
    </w:p>
    <w:p w14:paraId="5DB35566" w14:textId="1304EE65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Вкажіть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методику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підрахунку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частоти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серцевих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скорочень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3E00E75" w14:textId="6CE23B50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досліджується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артеріальний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тиск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методом</w:t>
      </w:r>
      <w:r w:rsidRPr="00A73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М.С.</w:t>
      </w:r>
      <w:proofErr w:type="gram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Короткова?</w:t>
      </w:r>
    </w:p>
    <w:p w14:paraId="059787A2" w14:textId="3E2C4303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Яка формула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пульсового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артеріального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тиску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213AFF43" w14:textId="1528667A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Вкажіть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методику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підрахунку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серцево-судинної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індексом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Робінсона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F5F63A9" w14:textId="592104F9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Назвіть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інформативні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гемодинаміки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97F3EAF" w14:textId="38635EE8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Зазначте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методику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механізмів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вегетативного</w:t>
      </w:r>
      <w:r w:rsidRPr="00A73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індексом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Кердо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19495D1" w14:textId="7532BB94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визначаються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адаптаційні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можливості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організму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здоров'я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Р.М.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Баєвським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?</w:t>
      </w:r>
    </w:p>
    <w:p w14:paraId="1C444F64" w14:textId="68C1F61F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Опишіть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методику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із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затримкою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3A6685A" w14:textId="5BEA562E" w:rsidR="00A73FA8" w:rsidRPr="00A73FA8" w:rsidRDefault="00A73FA8" w:rsidP="00A73FA8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Методика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проб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зміною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просторі</w:t>
      </w:r>
      <w:proofErr w:type="spellEnd"/>
      <w:r w:rsidRPr="00A73FA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3C94A46" w14:textId="77777777" w:rsidR="005E0BB6" w:rsidRDefault="005E0BB6" w:rsidP="00A73FA8">
      <w:pPr>
        <w:tabs>
          <w:tab w:val="left" w:pos="1134"/>
        </w:tabs>
        <w:ind w:firstLine="709"/>
      </w:pPr>
    </w:p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1A2"/>
    <w:multiLevelType w:val="hybridMultilevel"/>
    <w:tmpl w:val="FD3214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3804"/>
    <w:multiLevelType w:val="hybridMultilevel"/>
    <w:tmpl w:val="666C93C6"/>
    <w:lvl w:ilvl="0" w:tplc="1EECB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4422"/>
    <w:multiLevelType w:val="hybridMultilevel"/>
    <w:tmpl w:val="6480F638"/>
    <w:lvl w:ilvl="0" w:tplc="21588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10E9"/>
    <w:multiLevelType w:val="hybridMultilevel"/>
    <w:tmpl w:val="38F8F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C6E43"/>
    <w:multiLevelType w:val="hybridMultilevel"/>
    <w:tmpl w:val="816449F4"/>
    <w:lvl w:ilvl="0" w:tplc="1EECB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E2A8D"/>
    <w:multiLevelType w:val="hybridMultilevel"/>
    <w:tmpl w:val="38F8FD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15DEA"/>
    <w:multiLevelType w:val="hybridMultilevel"/>
    <w:tmpl w:val="6CDA7C44"/>
    <w:lvl w:ilvl="0" w:tplc="57F6DB2A">
      <w:start w:val="1"/>
      <w:numFmt w:val="decimal"/>
      <w:lvlText w:val="%1."/>
      <w:lvlJc w:val="left"/>
      <w:pPr>
        <w:ind w:left="789" w:hanging="429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4743">
    <w:abstractNumId w:val="2"/>
  </w:num>
  <w:num w:numId="2" w16cid:durableId="1024089643">
    <w:abstractNumId w:val="5"/>
  </w:num>
  <w:num w:numId="3" w16cid:durableId="1933271557">
    <w:abstractNumId w:val="3"/>
  </w:num>
  <w:num w:numId="4" w16cid:durableId="121073427">
    <w:abstractNumId w:val="0"/>
  </w:num>
  <w:num w:numId="5" w16cid:durableId="912469565">
    <w:abstractNumId w:val="4"/>
  </w:num>
  <w:num w:numId="6" w16cid:durableId="1495679143">
    <w:abstractNumId w:val="1"/>
  </w:num>
  <w:num w:numId="7" w16cid:durableId="591745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33"/>
    <w:rsid w:val="00042055"/>
    <w:rsid w:val="001073E1"/>
    <w:rsid w:val="001D49E8"/>
    <w:rsid w:val="00233707"/>
    <w:rsid w:val="003902CC"/>
    <w:rsid w:val="004746D3"/>
    <w:rsid w:val="004F2622"/>
    <w:rsid w:val="00576034"/>
    <w:rsid w:val="00593D70"/>
    <w:rsid w:val="005C3907"/>
    <w:rsid w:val="005E0BB6"/>
    <w:rsid w:val="006818F7"/>
    <w:rsid w:val="007E573C"/>
    <w:rsid w:val="00882714"/>
    <w:rsid w:val="008B7E67"/>
    <w:rsid w:val="0095018E"/>
    <w:rsid w:val="00A73FA8"/>
    <w:rsid w:val="00AE4933"/>
    <w:rsid w:val="00CC6A1A"/>
    <w:rsid w:val="00D1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8F9F"/>
  <w15:chartTrackingRefBased/>
  <w15:docId w15:val="{D9DCE625-626C-417F-9818-8ACBBF4F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9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FA3A-EA45-40EE-804C-A39FD69C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14</cp:revision>
  <dcterms:created xsi:type="dcterms:W3CDTF">2023-07-24T08:52:00Z</dcterms:created>
  <dcterms:modified xsi:type="dcterms:W3CDTF">2023-11-01T16:23:00Z</dcterms:modified>
</cp:coreProperties>
</file>