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F55A" w14:textId="238EC681" w:rsidR="00BB36C2" w:rsidRDefault="00BB36C2" w:rsidP="00BB3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3.</w:t>
      </w:r>
    </w:p>
    <w:p w14:paraId="219B1194" w14:textId="7C7A2A8A" w:rsidR="00BB36C2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bookmarkStart w:id="0" w:name="_Hlk116635821"/>
      <w:r w:rsidRPr="0097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ФІЗИЧНИЙ РОЗВИТОК ЛЮДИНИ ТА МЕТОДИ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ЙОГО ОЦІНКИ</w:t>
      </w:r>
    </w:p>
    <w:p w14:paraId="54FE2A43" w14:textId="77777777" w:rsidR="00BB36C2" w:rsidRPr="003827BA" w:rsidRDefault="00BB36C2" w:rsidP="00BB3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827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21338552" w14:textId="77777777" w:rsidR="00BB36C2" w:rsidRPr="003827BA" w:rsidRDefault="00BB36C2" w:rsidP="00BB36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Антропометрія</w:t>
      </w:r>
      <w:proofErr w:type="spellEnd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508E6B7C" w14:textId="77777777" w:rsidR="00BB36C2" w:rsidRPr="003827BA" w:rsidRDefault="00BB36C2" w:rsidP="00BB36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компонентного складу </w:t>
      </w:r>
      <w:proofErr w:type="spellStart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02BE65F1" w14:textId="77777777" w:rsidR="00BB36C2" w:rsidRPr="003827BA" w:rsidRDefault="00BB36C2" w:rsidP="00BB36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bookmarkEnd w:id="0"/>
    <w:p w14:paraId="5D59859F" w14:textId="77777777" w:rsidR="00BB36C2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81202" w14:textId="77777777" w:rsidR="00BB36C2" w:rsidRPr="00A07D91" w:rsidRDefault="00BB36C2" w:rsidP="00BB3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0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A0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87C121" w14:textId="77777777" w:rsidR="00BB36C2" w:rsidRPr="00A07D91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07D91">
        <w:rPr>
          <w:rFonts w:ascii="TimesNewRoman" w:eastAsia="TimesNewRoman" w:hAnsi="TimesNewRoman,Bold" w:cs="TimesNewRoman"/>
          <w:color w:val="000000"/>
          <w:sz w:val="28"/>
          <w:szCs w:val="28"/>
        </w:rPr>
        <w:t xml:space="preserve">1.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Абрамов В. В.,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Клапчук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Неханевич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О. Б. [та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.]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спортивна медицина: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вищих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мед.</w:t>
      </w:r>
    </w:p>
    <w:p w14:paraId="3808BFC4" w14:textId="77777777" w:rsidR="00BB36C2" w:rsidRPr="00A07D91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навч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; за ред. В. В. Абрамова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О. Л.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Смирнової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Дніпропетровськ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Журфонд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2014.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456 с.</w:t>
      </w:r>
    </w:p>
    <w:p w14:paraId="42B1A58F" w14:textId="77777777" w:rsidR="00BB36C2" w:rsidRPr="00A07D91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2. Апанасенко Г. Л. Ф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разви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ток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тей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ідлі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К.: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1985.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80 с.</w:t>
      </w:r>
    </w:p>
    <w:p w14:paraId="3429333F" w14:textId="77777777" w:rsidR="00BB36C2" w:rsidRPr="00D251F9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Лутай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М. І.,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Дорогий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А. П.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Захворюваність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смертність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хвороб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// Нова медицина. 2002. № 3.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С. 18–21.</w:t>
      </w:r>
      <w:r w:rsidRPr="00A07D91">
        <w:rPr>
          <w:rFonts w:ascii="Times New Roman" w:eastAsia="TimesNewRoman" w:hAnsi="Times New Roman" w:cs="Times New Roman"/>
          <w:color w:val="FFFFFF"/>
          <w:sz w:val="28"/>
          <w:szCs w:val="28"/>
        </w:rPr>
        <w:t>33</w:t>
      </w:r>
    </w:p>
    <w:p w14:paraId="2B9FB8A0" w14:textId="77777777" w:rsidR="00BB36C2" w:rsidRPr="00A07D91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Романчук О. П.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Лікарсько-педагогічний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оздоровчій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Одеса, 2010.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205 с.</w:t>
      </w:r>
    </w:p>
    <w:p w14:paraId="297AA991" w14:textId="77777777" w:rsidR="00BB36C2" w:rsidRPr="00A07D91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5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Соколовський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С., Романова Н. О.,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Бондарєв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І. І.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Лікарський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ихованні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 Одеса, 2001.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93 с.</w:t>
      </w:r>
    </w:p>
    <w:p w14:paraId="61C7F88A" w14:textId="77777777" w:rsidR="00BB36C2" w:rsidRPr="00D251F9" w:rsidRDefault="00BB36C2" w:rsidP="00BB36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6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Шаповалова </w:t>
      </w:r>
      <w:proofErr w:type="gram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В.А.</w:t>
      </w:r>
      <w:proofErr w:type="gram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Спортивна медицина і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К.: Медицина, 2008.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248 с.</w:t>
      </w:r>
    </w:p>
    <w:p w14:paraId="2D6C3164" w14:textId="77777777" w:rsidR="00BC0F9D" w:rsidRDefault="00BC0F9D"/>
    <w:p w14:paraId="1D728816" w14:textId="06FF94B3" w:rsidR="00BC0F9D" w:rsidRPr="00974558" w:rsidRDefault="00BB36C2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1.</w:t>
      </w:r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Антропометрія</w:t>
      </w:r>
      <w:proofErr w:type="spellEnd"/>
    </w:p>
    <w:p w14:paraId="4DDB7A80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1" w:name="_Hlk147759264"/>
      <w:proofErr w:type="spellStart"/>
      <w:r w:rsidRPr="005D613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Антропометрія</w:t>
      </w:r>
      <w:proofErr w:type="spellEnd"/>
      <w:r w:rsidRPr="005D613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5D613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соматометрія</w:t>
      </w:r>
      <w:proofErr w:type="spellEnd"/>
      <w:r w:rsidRPr="005D613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метод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об'єктивних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даних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найважливіші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морфологічні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параметри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довжина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маса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окружності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діаметри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довжина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кінцівок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про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деякі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ознаки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життєва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ємність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легень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дихальний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розмах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грудної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клітини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сила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окремих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груп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м'язів</w:t>
      </w:r>
      <w:proofErr w:type="spellEnd"/>
      <w:r w:rsidRPr="00E968E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1"/>
    <w:p w14:paraId="77F7576A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Антропометричні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доповнюють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уточнюють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Повторні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стежити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систематичними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спортом.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велике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помітно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зростанням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перенесених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таке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треба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користуватися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перевіреним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інструментарієм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строго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уніфікованої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методики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ранкові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натщесерце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один і той же час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повторних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теплому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хорошим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6E17252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бути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роздягнений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трусів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5AD9F42" w14:textId="79D0BC89" w:rsidR="00BC0F9D" w:rsidRDefault="00BC0F9D" w:rsidP="002616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Довжину</w:t>
      </w:r>
      <w:proofErr w:type="spellEnd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(стоячи і </w:t>
      </w:r>
      <w:proofErr w:type="spellStart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сидячи</w:t>
      </w:r>
      <w:proofErr w:type="spellEnd"/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ростоміра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Ростомір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собою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укріплену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площадці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вертикальну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стійку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пересувною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планкою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відкидною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лавкою.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Вертикальна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стійка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дві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шкали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світлу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росту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стоячи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відлік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ведеться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площадки) і темну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росту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відлік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ведеться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лавки).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спосіб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встає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площадку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ростоміра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босоніж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спиною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стійки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шкалою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торкається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трьома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точками 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п’ятами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крижами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міжлопатковою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ділянкою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Голова не повинна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торкатися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ростоміра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повинна бути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злегка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нахилена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верхній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край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слухового проходу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кут ока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розміщувались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горизонтальній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лінії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сідає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відкидне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сидіння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випрямившись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а голова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повинна бути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розташована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так, як і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стоячи. Стегна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горизонтальними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полу.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ноги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короткі</w:t>
      </w:r>
      <w:proofErr w:type="spellEnd"/>
      <w:r w:rsidRPr="0026162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них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дерев’яні</w:t>
      </w:r>
      <w:proofErr w:type="spellEnd"/>
      <w:r w:rsidR="00261624" w:rsidRPr="0026162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опори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0C3AB61" w14:textId="77777777" w:rsidR="00BC0F9D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D925A38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проводиться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точністю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0,5 см.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нижніх</w:t>
      </w:r>
      <w:proofErr w:type="spellEnd"/>
      <w:r w:rsidRPr="009C0AF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віднімання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</w:t>
      </w:r>
      <w:r w:rsidRPr="009C0AF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співвідношення</w:t>
      </w:r>
      <w:proofErr w:type="spellEnd"/>
      <w:r w:rsidRPr="009C0AF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тулуба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нижніх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пропорційності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429BCFBD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Масу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звичайних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десятинних</w:t>
      </w:r>
      <w:proofErr w:type="spellEnd"/>
      <w:r w:rsidRPr="009C0AF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терезах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чутливістю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50 г,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застосуванням</w:t>
      </w:r>
      <w:proofErr w:type="spellEnd"/>
      <w:r w:rsidRPr="009C0AF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вивірити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відрегулювати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одежі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Pr="009C0AF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нижньої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білизни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взуття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обережно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середину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платформи</w:t>
      </w:r>
      <w:proofErr w:type="spellEnd"/>
      <w:r w:rsidRPr="009C0AF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терезів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зважування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стоїть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спокійно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рухається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E7D64BE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Окружність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грудної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клітки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її</w:t>
      </w:r>
      <w:proofErr w:type="spellEnd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0AF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екскурсію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сантиметровою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вертикальному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Сантиметрову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ззаду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нижніми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кутами лопаток,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спереду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обох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статей до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12-13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нижнім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сегментом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соскових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кругів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над молочною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залозою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прикріплення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ІV ребра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сантиметрової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розводить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 в боки, 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опускає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утримуює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другою 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перевіряє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правильність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зручності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рекомендується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проводит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дзеркалом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повернутий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спиною).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відриваючи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трьох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паузи, максимального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те,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зги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спину і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піднімав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плеч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зводив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уперед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нахилявся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величинами окружностей</w:t>
      </w:r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фазі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рухливості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екскурсію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розмах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нормі</w:t>
      </w:r>
      <w:proofErr w:type="spellEnd"/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екскурсія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6-8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см,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3-6 см.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Окружність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2-3 рази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записують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до 1 см.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регулярних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екскурсія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збільшуватися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сягати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12-15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см.</w:t>
      </w:r>
    </w:p>
    <w:p w14:paraId="5B8EBA1E" w14:textId="45504C71" w:rsidR="00BC0F9D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Життєву</w:t>
      </w:r>
      <w:proofErr w:type="spellEnd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ємність</w:t>
      </w:r>
      <w:proofErr w:type="spellEnd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легенів</w:t>
      </w:r>
      <w:proofErr w:type="spellEnd"/>
      <w:r w:rsidRPr="00ED2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(ЖЄЛ)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(водного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спірографії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робить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1-2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вдихів</w:t>
      </w:r>
      <w:proofErr w:type="spellEnd"/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швидко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робить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максимальний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вдих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захватує</w:t>
      </w:r>
      <w:proofErr w:type="spellEnd"/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губами мундштук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робить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плавний</w:t>
      </w:r>
      <w:proofErr w:type="spellEnd"/>
      <w:r w:rsidRPr="00ED2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відмови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утримує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мундштук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іншою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затискувачем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стискає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ніс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спроби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підряд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зараховується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(рис. </w:t>
      </w:r>
      <w:r w:rsidR="007B3FA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744AA6ED" w14:textId="77777777" w:rsidR="00261624" w:rsidRPr="00974558" w:rsidRDefault="00261624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D86FCB9" w14:textId="77777777" w:rsidR="00BC0F9D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871CB">
        <w:rPr>
          <w:rFonts w:ascii="Times New Roman" w:eastAsia="TimesNew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0C11D6D" wp14:editId="1B92B2BF">
            <wp:extent cx="2715260" cy="2033905"/>
            <wp:effectExtent l="0" t="0" r="889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074C" w14:textId="46E9E6BE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Рис. </w:t>
      </w:r>
      <w:r w:rsidR="007B3FA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спірометр</w:t>
      </w:r>
      <w:proofErr w:type="spellEnd"/>
    </w:p>
    <w:p w14:paraId="4616AA07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</w:p>
    <w:p w14:paraId="6E85A9F4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ЖЄЛ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3500-4000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мл,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2500-3000 мл.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Життєва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ємність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Запропоновано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ряд формул,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належну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величину ЖЄЛ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18D5E68F" w14:textId="77777777" w:rsidR="00BC0F9D" w:rsidRPr="001871CB" w:rsidRDefault="00BC0F9D" w:rsidP="00BC0F9D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Належна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ЖЄЛ (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чол</w:t>
      </w:r>
      <w:proofErr w:type="spellEnd"/>
      <w:proofErr w:type="gram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.)=</w:t>
      </w:r>
      <w:proofErr w:type="gram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(40×довжину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см) + (30×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масу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кг)– 440</w:t>
      </w: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0 </w:t>
      </w:r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мл.</w:t>
      </w:r>
    </w:p>
    <w:p w14:paraId="60FACB99" w14:textId="77777777" w:rsidR="00BC0F9D" w:rsidRPr="001871CB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Належна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ЖЄЛ (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жін</w:t>
      </w:r>
      <w:proofErr w:type="spellEnd"/>
      <w:proofErr w:type="gram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.)=</w:t>
      </w:r>
      <w:proofErr w:type="gram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(40×довжину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см) + (10 ×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масу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кг)– 3800 мл.</w:t>
      </w:r>
    </w:p>
    <w:p w14:paraId="106189A5" w14:textId="2050D82D" w:rsidR="00BC0F9D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Силу </w:t>
      </w:r>
      <w:proofErr w:type="spellStart"/>
      <w:r w:rsidRPr="001871C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(рис. </w:t>
      </w:r>
      <w:r w:rsidR="007B3FA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2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08EA4959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871CB">
        <w:rPr>
          <w:rFonts w:ascii="Times New Roman" w:eastAsia="TimesNew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5DFFC30" wp14:editId="5CDA9D1F">
            <wp:extent cx="1146484" cy="17622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57" cy="178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C9CF9" w14:textId="147C712E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2" w:name="_Hlk147758012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Рис. </w:t>
      </w:r>
      <w:r w:rsidR="007B3FAA" w:rsidRPr="00E3565B">
        <w:rPr>
          <w:rFonts w:ascii="Times New Roman" w:eastAsia="TimesNewRoman" w:hAnsi="Times New Roman" w:cs="Times New Roman"/>
          <w:color w:val="000000"/>
          <w:sz w:val="28"/>
          <w:szCs w:val="28"/>
        </w:rPr>
        <w:t>2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ручним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кистьовим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</w:p>
    <w:p w14:paraId="41EEB46E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динамометром</w:t>
      </w:r>
    </w:p>
    <w:bookmarkEnd w:id="2"/>
    <w:p w14:paraId="18F1F3F8" w14:textId="75693B0F" w:rsidR="00BC0F9D" w:rsidRPr="00974558" w:rsidRDefault="00BC0F9D" w:rsidP="002616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первинних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оглядах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силу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кистей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Силу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кистей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ручним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кистьовим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динамометром. </w:t>
      </w:r>
      <w:bookmarkStart w:id="3" w:name="_Hlk147758089"/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бере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руку динамометр,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плечовому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відводить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руку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без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ривків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будь-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рухів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стискує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динамометр з максимальною силою (при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</w:t>
      </w:r>
      <w:r w:rsidR="00261624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сходити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згинати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руку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ліктьовому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суглобі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2-3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рази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кожної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фіксують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найкращий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точністю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2 кг.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правої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робочої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40-45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кг,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30-35 кг.</w:t>
      </w:r>
      <w:bookmarkEnd w:id="3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розділити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 кг)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власну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 кг),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фактичної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правої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60-70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45-50%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звичайно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3-5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кг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менші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5292F83" w14:textId="77777777" w:rsidR="00BC0F9D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E306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Станову</w:t>
      </w:r>
      <w:proofErr w:type="spellEnd"/>
      <w:r w:rsidRPr="00BE306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силу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силу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розгиначів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становим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динамометром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 (рис. 1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0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681073D4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B60CE">
        <w:rPr>
          <w:rFonts w:ascii="Times New Roman" w:eastAsia="TimesNew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9CA8661" wp14:editId="79920217">
            <wp:extent cx="1158240" cy="1382240"/>
            <wp:effectExtent l="0" t="0" r="381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68" cy="139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718B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Рис. 1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0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</w:p>
    <w:p w14:paraId="4268C00E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платформу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вгвинченим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планку крюком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(таким чином,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крюк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знаходився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середині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стоп),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зігнувшись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бере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обома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руками рукоятку динамометру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плавно, без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ривків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розгинаючи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зусиллям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випрямляє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спину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відмови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рукоятка динамометру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повинна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знаходитися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досягається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регулюванням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планки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ланцюга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станового динамометру.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проводиться 2-3 рази,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величина.Точність</w:t>
      </w:r>
      <w:proofErr w:type="spellEnd"/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5 кг.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Протипоказаннями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є: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менструація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вагітність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гриж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декількапальців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грижі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Шморля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хребта,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остеохондроз.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Станова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сила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середньому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130-150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кг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190-200%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власної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80-90 кг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140-150%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9CBBC4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Ширина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плечей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діаметри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грудної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клітини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і тазу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акушерським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циркулем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антропометром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точках,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ширини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плечей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ніжки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циркуля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встановлюють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краї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акроміальних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відростків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лопаток. Коли мускулатура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плечового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пояса добр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е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розвинута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акроміальні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відростки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пальпаторно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знайти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запропонувати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обстежуваному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обертальні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рухи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плечем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акроміальні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відростки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лопаток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залишаються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нерухомими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2DC3082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передньо-заднього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сагітального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діаметра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одну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ніжку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циркуля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середину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прикріплення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IV ребра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іншу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остистий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відросток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хребця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Циркуль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горизонтальному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Поперечний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фронтальний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діаметр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тому ж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сагітальний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Ніжки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циркуля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пахвовим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лініям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ребра.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витягнути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>бік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289DA28" w14:textId="35C571FE" w:rsidR="00BC0F9D" w:rsidRPr="00DA2F89" w:rsidRDefault="00BC0F9D" w:rsidP="00DA2F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ширини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тазу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ніжки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циркуля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 w:rsidRPr="001B60C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гребені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клубових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знаходять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найвіддаленіші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точки.</w:t>
      </w:r>
      <w:r w:rsidRPr="001B60C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Start w:id="4" w:name="_Hlk147758230"/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Окружності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сантиметровою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яка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повинна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досить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щільно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прилягати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Окружність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шиї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сантиметровою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шиї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кадиком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окружності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талії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сантиметрову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горизонтально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талії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на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3-4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гребенів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клубових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трохи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пупка.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вимірювань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повинен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втягувати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випинати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живіт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Окружність</w:t>
      </w:r>
      <w:proofErr w:type="spellEnd"/>
      <w:r w:rsidRPr="001B60C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B60C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плеча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розслабленому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плеча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чого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напругою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згинає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лікті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Сантиметрову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потовщення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біцепса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руку</w:t>
      </w:r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випрямляють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вільно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опускають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вниз,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знімають</w:t>
      </w:r>
      <w:proofErr w:type="spellEnd"/>
      <w:r w:rsidRPr="00A179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зрушують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тому ж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Обчислюють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записують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величинами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Окружності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стегна і </w:t>
      </w:r>
      <w:proofErr w:type="spellStart"/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гомілки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спокійному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ноги</w:t>
      </w:r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розставлені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ширину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плечей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Вага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рівномірно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розподілена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обидві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ноги.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горизонтально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сідничною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складкою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навколо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гомілки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A179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Шкірно-жирова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складка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спеціальним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пристроєм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A179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каліперметром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береться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ділянка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шкіри</w:t>
      </w:r>
      <w:proofErr w:type="spellEnd"/>
      <w:r w:rsidRPr="000260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підшкірною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клітковиною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шириною в 5 см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захвачується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каліперметром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складку,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шкірно-жирової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складки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частинах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проте</w:t>
      </w:r>
      <w:proofErr w:type="spellEnd"/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спині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кутом лопатки і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животі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пупка</w:t>
      </w:r>
      <w:r w:rsidRPr="00160B2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ключичній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лінії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точністю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0,1 мм.</w:t>
      </w:r>
      <w:r w:rsidR="00DA2F8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шкірно-жирової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складки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кутом лопатки)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0,8-1,0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см;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1,8-2,0 см.</w:t>
      </w:r>
      <w:bookmarkEnd w:id="4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шкірно-жирової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складки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ох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точках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звану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(ЖМТ).</w:t>
      </w:r>
    </w:p>
    <w:p w14:paraId="3D8302BA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660C7D5F" w14:textId="490841AB" w:rsidR="00BC0F9D" w:rsidRPr="00974558" w:rsidRDefault="00BB36C2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2</w:t>
      </w:r>
      <w:r w:rsidR="00BC0F9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Дослідження</w:t>
      </w:r>
      <w:proofErr w:type="spellEnd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компонентного складу </w:t>
      </w:r>
      <w:proofErr w:type="spellStart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тіла</w:t>
      </w:r>
      <w:proofErr w:type="spellEnd"/>
    </w:p>
    <w:p w14:paraId="0832A39F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компонентного складу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педагогами, тренерами,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спортивними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оптимізації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режимів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змагань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перевагу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компонентного складу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біоімпедансний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Як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склад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варіює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виду спорту,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конкретної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спеціалізації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Компонентний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дієтології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анестезіології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моніторингу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балансу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рідин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реаніматології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терапії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пацієнтів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анорексією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набряками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остеопорозом.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вмісту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компонентів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маркерами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перебігу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компонентного складу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дозоляють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уточнювати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індивідуальні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охарактеризувати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режим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занять спортом є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моніторінг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вмістом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жиру, води,</w:t>
      </w:r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кістякової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м'язової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тканини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кожного</w:t>
      </w:r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створити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комплексне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9BBB2C7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Формула,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відносного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вмісту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жиру (ВВЖ)</w:t>
      </w:r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(за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Gallagher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et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al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., 2000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припустимою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похибкою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(5%)</w:t>
      </w:r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вміст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жиру </w:t>
      </w:r>
      <w:r w:rsidRPr="00D17ED3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160B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(ДТ),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(МТ)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50C62F9E" w14:textId="29C99731" w:rsidR="00BC0F9D" w:rsidRPr="00A70E56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ВВЖ =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64,5 ‒</w:t>
      </w:r>
      <w:r w:rsidR="00E3565B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0E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="00A70E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848 :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IMT</w:t>
      </w:r>
      <w:r w:rsidR="00A70E56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+ </w:t>
      </w:r>
      <w:r w:rsidR="00A70E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0,079 ×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Вік</w:t>
      </w:r>
      <w:proofErr w:type="spellEnd"/>
      <w:r w:rsidR="00A70E56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‒ </w:t>
      </w:r>
      <w:r w:rsidR="00A70E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16,4 × С</w:t>
      </w:r>
      <w:r w:rsidR="00A70E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)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 </w:t>
      </w:r>
      <w:r w:rsidR="00A70E56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(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0,05 × С ×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Вік</w:t>
      </w:r>
      <w:proofErr w:type="spellEnd"/>
      <w:r w:rsidR="00A70E56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+</w:t>
      </w:r>
      <w:r w:rsidR="00A70E56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39,0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IMT</w:t>
      </w:r>
      <w:r w:rsidR="00A70E56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14:paraId="5E1DAA7F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С ‒ стать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приймає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0 ‒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1 ‒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ураховується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роках; ІМТ 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співвідношення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кг 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²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4FC33AA" w14:textId="55A8090C" w:rsidR="00261624" w:rsidRDefault="00BC0F9D" w:rsidP="00B94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зазначено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вмісту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жиру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відсоткового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вмісту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(табл. 1).</w:t>
      </w:r>
    </w:p>
    <w:p w14:paraId="5424720B" w14:textId="610B9912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Таблиця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</w:t>
      </w:r>
    </w:p>
    <w:p w14:paraId="1537E2CB" w14:textId="77777777" w:rsidR="00BC0F9D" w:rsidRPr="00D17ED3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Оцінка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відсоткового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вмісту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жиру у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організмі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789"/>
        <w:gridCol w:w="674"/>
        <w:gridCol w:w="673"/>
        <w:gridCol w:w="787"/>
        <w:gridCol w:w="788"/>
        <w:gridCol w:w="788"/>
        <w:gridCol w:w="788"/>
        <w:gridCol w:w="907"/>
        <w:gridCol w:w="903"/>
        <w:gridCol w:w="903"/>
      </w:tblGrid>
      <w:tr w:rsidR="00BC0F9D" w14:paraId="7C5089B7" w14:textId="77777777" w:rsidTr="003146ED">
        <w:tc>
          <w:tcPr>
            <w:tcW w:w="1247" w:type="dxa"/>
            <w:vMerge w:val="restart"/>
          </w:tcPr>
          <w:p w14:paraId="1C045493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Рівень</w:t>
            </w:r>
            <w:proofErr w:type="spellEnd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ВВЖ</w:t>
            </w:r>
          </w:p>
        </w:tc>
        <w:tc>
          <w:tcPr>
            <w:tcW w:w="8562" w:type="dxa"/>
            <w:gridSpan w:val="10"/>
          </w:tcPr>
          <w:p w14:paraId="6D2D422C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Вік</w:t>
            </w:r>
            <w:proofErr w:type="spellEnd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роки</w:t>
            </w:r>
          </w:p>
        </w:tc>
      </w:tr>
      <w:tr w:rsidR="00BC0F9D" w14:paraId="4E4D6A3F" w14:textId="77777777" w:rsidTr="003146ED">
        <w:tc>
          <w:tcPr>
            <w:tcW w:w="1247" w:type="dxa"/>
            <w:vMerge/>
          </w:tcPr>
          <w:p w14:paraId="38C03BE0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14:paraId="41C5C6BC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20-29</w:t>
            </w:r>
          </w:p>
        </w:tc>
        <w:tc>
          <w:tcPr>
            <w:tcW w:w="1544" w:type="dxa"/>
            <w:gridSpan w:val="2"/>
          </w:tcPr>
          <w:p w14:paraId="5B65E347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30-39</w:t>
            </w:r>
          </w:p>
        </w:tc>
        <w:tc>
          <w:tcPr>
            <w:tcW w:w="1684" w:type="dxa"/>
            <w:gridSpan w:val="2"/>
          </w:tcPr>
          <w:p w14:paraId="6ECCF17C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40-49</w:t>
            </w:r>
          </w:p>
        </w:tc>
        <w:tc>
          <w:tcPr>
            <w:tcW w:w="1827" w:type="dxa"/>
            <w:gridSpan w:val="2"/>
          </w:tcPr>
          <w:p w14:paraId="475901F4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50-59</w:t>
            </w:r>
          </w:p>
        </w:tc>
        <w:tc>
          <w:tcPr>
            <w:tcW w:w="1960" w:type="dxa"/>
            <w:gridSpan w:val="2"/>
          </w:tcPr>
          <w:p w14:paraId="3CACDAA9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60-69</w:t>
            </w:r>
          </w:p>
        </w:tc>
      </w:tr>
      <w:tr w:rsidR="00BC0F9D" w14:paraId="2B30B78E" w14:textId="77777777" w:rsidTr="003146ED">
        <w:tc>
          <w:tcPr>
            <w:tcW w:w="1247" w:type="dxa"/>
            <w:vMerge/>
          </w:tcPr>
          <w:p w14:paraId="0AF1DF76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7C166CE8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704" w:type="dxa"/>
          </w:tcPr>
          <w:p w14:paraId="035D0595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  <w:tc>
          <w:tcPr>
            <w:tcW w:w="703" w:type="dxa"/>
          </w:tcPr>
          <w:p w14:paraId="22ABDE00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841" w:type="dxa"/>
          </w:tcPr>
          <w:p w14:paraId="36707AAB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  <w:tc>
          <w:tcPr>
            <w:tcW w:w="842" w:type="dxa"/>
          </w:tcPr>
          <w:p w14:paraId="141ED5B4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842" w:type="dxa"/>
          </w:tcPr>
          <w:p w14:paraId="7DF91D39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  <w:tc>
          <w:tcPr>
            <w:tcW w:w="842" w:type="dxa"/>
          </w:tcPr>
          <w:p w14:paraId="58E314CF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985" w:type="dxa"/>
          </w:tcPr>
          <w:p w14:paraId="1AA221D8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  <w:tc>
          <w:tcPr>
            <w:tcW w:w="980" w:type="dxa"/>
          </w:tcPr>
          <w:p w14:paraId="58F90A5F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</w:p>
        </w:tc>
        <w:tc>
          <w:tcPr>
            <w:tcW w:w="980" w:type="dxa"/>
          </w:tcPr>
          <w:p w14:paraId="650FD379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жін</w:t>
            </w:r>
            <w:proofErr w:type="spellEnd"/>
          </w:p>
        </w:tc>
      </w:tr>
      <w:tr w:rsidR="00BC0F9D" w14:paraId="61648EB5" w14:textId="77777777" w:rsidTr="003146ED">
        <w:tc>
          <w:tcPr>
            <w:tcW w:w="1247" w:type="dxa"/>
          </w:tcPr>
          <w:p w14:paraId="6B998EC2" w14:textId="3DD2A8D0" w:rsidR="00BC0F9D" w:rsidRPr="00261624" w:rsidRDefault="00BC0F9D" w:rsidP="00762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Дуже</w:t>
            </w:r>
            <w:proofErr w:type="spellEnd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низький</w:t>
            </w:r>
            <w:proofErr w:type="spellEnd"/>
          </w:p>
        </w:tc>
        <w:tc>
          <w:tcPr>
            <w:tcW w:w="843" w:type="dxa"/>
          </w:tcPr>
          <w:p w14:paraId="7D0691BF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&lt;11</w:t>
            </w:r>
          </w:p>
        </w:tc>
        <w:tc>
          <w:tcPr>
            <w:tcW w:w="704" w:type="dxa"/>
          </w:tcPr>
          <w:p w14:paraId="00125489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&lt;16</w:t>
            </w:r>
          </w:p>
        </w:tc>
        <w:tc>
          <w:tcPr>
            <w:tcW w:w="703" w:type="dxa"/>
          </w:tcPr>
          <w:p w14:paraId="5A41C0E4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&lt;12</w:t>
            </w:r>
          </w:p>
        </w:tc>
        <w:tc>
          <w:tcPr>
            <w:tcW w:w="841" w:type="dxa"/>
          </w:tcPr>
          <w:p w14:paraId="2791E2B7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&lt;17</w:t>
            </w:r>
          </w:p>
        </w:tc>
        <w:tc>
          <w:tcPr>
            <w:tcW w:w="842" w:type="dxa"/>
          </w:tcPr>
          <w:p w14:paraId="22B35F93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&lt;14</w:t>
            </w:r>
          </w:p>
        </w:tc>
        <w:tc>
          <w:tcPr>
            <w:tcW w:w="842" w:type="dxa"/>
          </w:tcPr>
          <w:p w14:paraId="56663CC1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&lt;18</w:t>
            </w:r>
          </w:p>
        </w:tc>
        <w:tc>
          <w:tcPr>
            <w:tcW w:w="842" w:type="dxa"/>
          </w:tcPr>
          <w:p w14:paraId="2B35945A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&lt;15</w:t>
            </w:r>
          </w:p>
        </w:tc>
        <w:tc>
          <w:tcPr>
            <w:tcW w:w="985" w:type="dxa"/>
          </w:tcPr>
          <w:p w14:paraId="41890B2D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&lt;19</w:t>
            </w:r>
          </w:p>
        </w:tc>
        <w:tc>
          <w:tcPr>
            <w:tcW w:w="980" w:type="dxa"/>
          </w:tcPr>
          <w:p w14:paraId="417E85F4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&lt;16</w:t>
            </w:r>
          </w:p>
        </w:tc>
        <w:tc>
          <w:tcPr>
            <w:tcW w:w="980" w:type="dxa"/>
          </w:tcPr>
          <w:p w14:paraId="2DE5BBDB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&lt;20</w:t>
            </w:r>
          </w:p>
        </w:tc>
      </w:tr>
      <w:tr w:rsidR="00BC0F9D" w14:paraId="470B7C9C" w14:textId="77777777" w:rsidTr="003146ED">
        <w:tc>
          <w:tcPr>
            <w:tcW w:w="1247" w:type="dxa"/>
          </w:tcPr>
          <w:p w14:paraId="69C3A0E6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низький</w:t>
            </w:r>
            <w:proofErr w:type="spellEnd"/>
          </w:p>
        </w:tc>
        <w:tc>
          <w:tcPr>
            <w:tcW w:w="843" w:type="dxa"/>
          </w:tcPr>
          <w:p w14:paraId="11008E05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11-13</w:t>
            </w:r>
          </w:p>
        </w:tc>
        <w:tc>
          <w:tcPr>
            <w:tcW w:w="704" w:type="dxa"/>
          </w:tcPr>
          <w:p w14:paraId="5D550FF6" w14:textId="77777777" w:rsidR="00BC0F9D" w:rsidRPr="00261624" w:rsidRDefault="00BC0F9D" w:rsidP="00261624">
            <w:pPr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16-19</w:t>
            </w:r>
          </w:p>
        </w:tc>
        <w:tc>
          <w:tcPr>
            <w:tcW w:w="703" w:type="dxa"/>
          </w:tcPr>
          <w:p w14:paraId="23522869" w14:textId="77777777" w:rsidR="00BC0F9D" w:rsidRPr="00261624" w:rsidRDefault="00BC0F9D" w:rsidP="00261624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12-14</w:t>
            </w:r>
          </w:p>
        </w:tc>
        <w:tc>
          <w:tcPr>
            <w:tcW w:w="841" w:type="dxa"/>
          </w:tcPr>
          <w:p w14:paraId="21E50808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17-20</w:t>
            </w:r>
          </w:p>
        </w:tc>
        <w:tc>
          <w:tcPr>
            <w:tcW w:w="842" w:type="dxa"/>
          </w:tcPr>
          <w:p w14:paraId="6A71E41C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1-16</w:t>
            </w:r>
          </w:p>
        </w:tc>
        <w:tc>
          <w:tcPr>
            <w:tcW w:w="842" w:type="dxa"/>
          </w:tcPr>
          <w:p w14:paraId="2E48F1C5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18-21</w:t>
            </w:r>
          </w:p>
        </w:tc>
        <w:tc>
          <w:tcPr>
            <w:tcW w:w="842" w:type="dxa"/>
          </w:tcPr>
          <w:p w14:paraId="3F6FE61D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15-17</w:t>
            </w:r>
          </w:p>
        </w:tc>
        <w:tc>
          <w:tcPr>
            <w:tcW w:w="985" w:type="dxa"/>
          </w:tcPr>
          <w:p w14:paraId="42DBAE51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19-22</w:t>
            </w:r>
          </w:p>
        </w:tc>
        <w:tc>
          <w:tcPr>
            <w:tcW w:w="980" w:type="dxa"/>
          </w:tcPr>
          <w:p w14:paraId="00BB33B8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16-18</w:t>
            </w:r>
          </w:p>
        </w:tc>
        <w:tc>
          <w:tcPr>
            <w:tcW w:w="980" w:type="dxa"/>
          </w:tcPr>
          <w:p w14:paraId="28BBC89A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20-23</w:t>
            </w:r>
          </w:p>
        </w:tc>
      </w:tr>
      <w:tr w:rsidR="00BC0F9D" w14:paraId="6B3CA7FC" w14:textId="77777777" w:rsidTr="003146ED">
        <w:tc>
          <w:tcPr>
            <w:tcW w:w="1247" w:type="dxa"/>
          </w:tcPr>
          <w:p w14:paraId="1EB848A6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оптимальний</w:t>
            </w:r>
            <w:proofErr w:type="spellEnd"/>
          </w:p>
        </w:tc>
        <w:tc>
          <w:tcPr>
            <w:tcW w:w="843" w:type="dxa"/>
          </w:tcPr>
          <w:p w14:paraId="1EC7CD8A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14-20</w:t>
            </w:r>
          </w:p>
        </w:tc>
        <w:tc>
          <w:tcPr>
            <w:tcW w:w="704" w:type="dxa"/>
          </w:tcPr>
          <w:p w14:paraId="7224FAAD" w14:textId="77777777" w:rsidR="00BC0F9D" w:rsidRPr="00261624" w:rsidRDefault="00BC0F9D" w:rsidP="00261624">
            <w:pPr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20-28</w:t>
            </w:r>
          </w:p>
        </w:tc>
        <w:tc>
          <w:tcPr>
            <w:tcW w:w="703" w:type="dxa"/>
          </w:tcPr>
          <w:p w14:paraId="0FB1ACFF" w14:textId="77777777" w:rsidR="00BC0F9D" w:rsidRPr="00261624" w:rsidRDefault="00BC0F9D" w:rsidP="00261624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15-21</w:t>
            </w:r>
          </w:p>
        </w:tc>
        <w:tc>
          <w:tcPr>
            <w:tcW w:w="841" w:type="dxa"/>
          </w:tcPr>
          <w:p w14:paraId="2E4666B7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21-29</w:t>
            </w:r>
          </w:p>
        </w:tc>
        <w:tc>
          <w:tcPr>
            <w:tcW w:w="842" w:type="dxa"/>
          </w:tcPr>
          <w:p w14:paraId="5DDF372C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17-23</w:t>
            </w:r>
          </w:p>
        </w:tc>
        <w:tc>
          <w:tcPr>
            <w:tcW w:w="842" w:type="dxa"/>
          </w:tcPr>
          <w:p w14:paraId="575471C4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22-30</w:t>
            </w:r>
          </w:p>
        </w:tc>
        <w:tc>
          <w:tcPr>
            <w:tcW w:w="842" w:type="dxa"/>
          </w:tcPr>
          <w:p w14:paraId="5D9D63CA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18-24</w:t>
            </w:r>
          </w:p>
        </w:tc>
        <w:tc>
          <w:tcPr>
            <w:tcW w:w="985" w:type="dxa"/>
          </w:tcPr>
          <w:p w14:paraId="7A0A1253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23-31</w:t>
            </w:r>
          </w:p>
        </w:tc>
        <w:tc>
          <w:tcPr>
            <w:tcW w:w="980" w:type="dxa"/>
          </w:tcPr>
          <w:p w14:paraId="6F6DE11A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19-25</w:t>
            </w:r>
          </w:p>
        </w:tc>
        <w:tc>
          <w:tcPr>
            <w:tcW w:w="980" w:type="dxa"/>
          </w:tcPr>
          <w:p w14:paraId="65619276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24-32</w:t>
            </w:r>
          </w:p>
        </w:tc>
      </w:tr>
      <w:tr w:rsidR="00BC0F9D" w14:paraId="63A3A743" w14:textId="77777777" w:rsidTr="003146ED">
        <w:tc>
          <w:tcPr>
            <w:tcW w:w="1247" w:type="dxa"/>
          </w:tcPr>
          <w:p w14:paraId="110556B3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Помірно</w:t>
            </w:r>
            <w:proofErr w:type="spellEnd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високий</w:t>
            </w:r>
            <w:proofErr w:type="spellEnd"/>
          </w:p>
        </w:tc>
        <w:tc>
          <w:tcPr>
            <w:tcW w:w="843" w:type="dxa"/>
          </w:tcPr>
          <w:p w14:paraId="14DBD717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704" w:type="dxa"/>
          </w:tcPr>
          <w:p w14:paraId="50D73A76" w14:textId="77777777" w:rsidR="00BC0F9D" w:rsidRPr="00261624" w:rsidRDefault="00BC0F9D" w:rsidP="00261624">
            <w:pPr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29-30</w:t>
            </w:r>
          </w:p>
        </w:tc>
        <w:tc>
          <w:tcPr>
            <w:tcW w:w="703" w:type="dxa"/>
          </w:tcPr>
          <w:p w14:paraId="6BEAA80B" w14:textId="77777777" w:rsidR="00BC0F9D" w:rsidRPr="00261624" w:rsidRDefault="00BC0F9D" w:rsidP="00261624">
            <w:pPr>
              <w:ind w:left="-8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22-24</w:t>
            </w:r>
          </w:p>
        </w:tc>
        <w:tc>
          <w:tcPr>
            <w:tcW w:w="841" w:type="dxa"/>
          </w:tcPr>
          <w:p w14:paraId="243D8C68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30-32</w:t>
            </w:r>
          </w:p>
        </w:tc>
        <w:tc>
          <w:tcPr>
            <w:tcW w:w="842" w:type="dxa"/>
          </w:tcPr>
          <w:p w14:paraId="68404686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24-26</w:t>
            </w:r>
          </w:p>
        </w:tc>
        <w:tc>
          <w:tcPr>
            <w:tcW w:w="842" w:type="dxa"/>
          </w:tcPr>
          <w:p w14:paraId="04DE6D3B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31-33</w:t>
            </w:r>
          </w:p>
        </w:tc>
        <w:tc>
          <w:tcPr>
            <w:tcW w:w="842" w:type="dxa"/>
          </w:tcPr>
          <w:p w14:paraId="64112F26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25-27</w:t>
            </w:r>
          </w:p>
        </w:tc>
        <w:tc>
          <w:tcPr>
            <w:tcW w:w="985" w:type="dxa"/>
          </w:tcPr>
          <w:p w14:paraId="024A9FEC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32-33</w:t>
            </w:r>
          </w:p>
        </w:tc>
        <w:tc>
          <w:tcPr>
            <w:tcW w:w="980" w:type="dxa"/>
          </w:tcPr>
          <w:p w14:paraId="03E5CF6B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26-28</w:t>
            </w:r>
          </w:p>
        </w:tc>
        <w:tc>
          <w:tcPr>
            <w:tcW w:w="980" w:type="dxa"/>
          </w:tcPr>
          <w:p w14:paraId="2252F592" w14:textId="77777777" w:rsidR="00BC0F9D" w:rsidRPr="00261624" w:rsidRDefault="00BC0F9D" w:rsidP="00314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6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33-35</w:t>
            </w:r>
          </w:p>
        </w:tc>
      </w:tr>
    </w:tbl>
    <w:p w14:paraId="5BEB4C5B" w14:textId="77777777" w:rsidR="00261624" w:rsidRDefault="00261624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1854A001" w14:textId="2A56B85B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кістяка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охватів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плеча,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передпліччя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стегна,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гомілки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шкірно-жирових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складок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передпліччі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(над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триголовим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двоголовим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м'язами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 і силу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color w:val="000000"/>
          <w:sz w:val="28"/>
          <w:szCs w:val="28"/>
        </w:rPr>
        <w:t>кист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м'язової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маси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кістяка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скористатися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рівнянням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Baumgartner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018AFC51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КММ =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0,2487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МТ +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0,0483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ДТ ‒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0,1584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ОС +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0,0732 ×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Д +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2,5843 × С + 5,8828</w:t>
      </w:r>
    </w:p>
    <w:p w14:paraId="4BFE5A82" w14:textId="77777777" w:rsidR="00BC0F9D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МТ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(кг), ДТ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(см), ОС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охват стегна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(см), Д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сильнішої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color w:val="000000"/>
          <w:sz w:val="28"/>
          <w:szCs w:val="28"/>
        </w:rPr>
        <w:t>кист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(кг), С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стать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(1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0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0459FF00" w14:textId="77777777" w:rsidR="0072220C" w:rsidRDefault="0072220C" w:rsidP="007222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220C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20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20C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20C">
        <w:rPr>
          <w:rFonts w:ascii="Times New Roman" w:hAnsi="Times New Roman" w:cs="Times New Roman"/>
          <w:sz w:val="28"/>
          <w:szCs w:val="28"/>
        </w:rPr>
        <w:t>м’язового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 xml:space="preserve"> компоненту в </w:t>
      </w:r>
      <w:proofErr w:type="spellStart"/>
      <w:r w:rsidRPr="0072220C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CE607" w14:textId="39A4DA5D" w:rsidR="0072220C" w:rsidRPr="0072220C" w:rsidRDefault="0072220C" w:rsidP="007222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72220C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220C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20C">
        <w:rPr>
          <w:rFonts w:ascii="Times New Roman" w:hAnsi="Times New Roman" w:cs="Times New Roman"/>
          <w:sz w:val="28"/>
          <w:szCs w:val="28"/>
        </w:rPr>
        <w:t>17-21</w:t>
      </w:r>
      <w:proofErr w:type="gramEnd"/>
      <w:r w:rsidRPr="0072220C">
        <w:rPr>
          <w:rFonts w:ascii="Times New Roman" w:hAnsi="Times New Roman" w:cs="Times New Roman"/>
          <w:sz w:val="28"/>
          <w:szCs w:val="28"/>
        </w:rPr>
        <w:t xml:space="preserve"> року (</w:t>
      </w:r>
      <w:proofErr w:type="spellStart"/>
      <w:r w:rsidRPr="0072220C">
        <w:rPr>
          <w:rFonts w:ascii="Times New Roman" w:hAnsi="Times New Roman" w:cs="Times New Roman"/>
          <w:sz w:val="28"/>
          <w:szCs w:val="28"/>
        </w:rPr>
        <w:t>Omron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20C">
        <w:rPr>
          <w:rFonts w:ascii="Times New Roman" w:hAnsi="Times New Roman" w:cs="Times New Roman"/>
          <w:sz w:val="28"/>
          <w:szCs w:val="28"/>
        </w:rPr>
        <w:t>Healthcare</w:t>
      </w:r>
      <w:proofErr w:type="spellEnd"/>
      <w:r w:rsidRPr="0072220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2220C" w:rsidRPr="009C1A91" w14:paraId="6D4BF5CB" w14:textId="77777777" w:rsidTr="00451E76">
        <w:tc>
          <w:tcPr>
            <w:tcW w:w="1869" w:type="dxa"/>
            <w:vMerge w:val="restart"/>
          </w:tcPr>
          <w:p w14:paraId="5414063A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A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</w:p>
        </w:tc>
        <w:tc>
          <w:tcPr>
            <w:tcW w:w="7476" w:type="dxa"/>
            <w:gridSpan w:val="4"/>
          </w:tcPr>
          <w:p w14:paraId="1F3FCA98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вмісту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м’язового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(%)</w:t>
            </w:r>
          </w:p>
        </w:tc>
      </w:tr>
      <w:tr w:rsidR="0072220C" w:rsidRPr="009C1A91" w14:paraId="12CE80BE" w14:textId="77777777" w:rsidTr="00451E76">
        <w:tc>
          <w:tcPr>
            <w:tcW w:w="1869" w:type="dxa"/>
            <w:vMerge/>
          </w:tcPr>
          <w:p w14:paraId="16215F04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</w:tcPr>
          <w:p w14:paraId="1946D015" w14:textId="77777777" w:rsidR="0072220C" w:rsidRPr="009C1A91" w:rsidRDefault="0072220C" w:rsidP="00C3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низький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4CA96EE0" w14:textId="77777777" w:rsidR="0072220C" w:rsidRPr="009C1A91" w:rsidRDefault="0072220C" w:rsidP="00C3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нормальний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1B0F5886" w14:textId="77777777" w:rsidR="0072220C" w:rsidRPr="009C1A91" w:rsidRDefault="0072220C" w:rsidP="00C3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36C3DBA8" w14:textId="77777777" w:rsidR="0072220C" w:rsidRPr="009C1A91" w:rsidRDefault="0072220C" w:rsidP="00C32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220C" w:rsidRPr="009C1A91" w14:paraId="57C70F56" w14:textId="77777777" w:rsidTr="00451E76">
        <w:tc>
          <w:tcPr>
            <w:tcW w:w="1869" w:type="dxa"/>
          </w:tcPr>
          <w:p w14:paraId="172DC228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1A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Чоловіки</w:t>
            </w:r>
            <w:proofErr w:type="spellEnd"/>
          </w:p>
        </w:tc>
        <w:tc>
          <w:tcPr>
            <w:tcW w:w="1869" w:type="dxa"/>
          </w:tcPr>
          <w:p w14:paraId="517E36CC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&lt;33,3</w:t>
            </w:r>
          </w:p>
        </w:tc>
        <w:tc>
          <w:tcPr>
            <w:tcW w:w="1869" w:type="dxa"/>
          </w:tcPr>
          <w:p w14:paraId="720907C6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33,3 – 39,3</w:t>
            </w:r>
          </w:p>
        </w:tc>
        <w:tc>
          <w:tcPr>
            <w:tcW w:w="1869" w:type="dxa"/>
          </w:tcPr>
          <w:p w14:paraId="5F7C24B3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39,4 – 44,0</w:t>
            </w:r>
          </w:p>
        </w:tc>
        <w:tc>
          <w:tcPr>
            <w:tcW w:w="1869" w:type="dxa"/>
          </w:tcPr>
          <w:p w14:paraId="3898C4EA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≥44,1</w:t>
            </w:r>
          </w:p>
        </w:tc>
      </w:tr>
      <w:tr w:rsidR="0072220C" w:rsidRPr="009C1A91" w14:paraId="744AFB76" w14:textId="77777777" w:rsidTr="00451E76">
        <w:tc>
          <w:tcPr>
            <w:tcW w:w="1869" w:type="dxa"/>
          </w:tcPr>
          <w:p w14:paraId="0AA43747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1A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Жінки</w:t>
            </w:r>
            <w:proofErr w:type="spellEnd"/>
          </w:p>
        </w:tc>
        <w:tc>
          <w:tcPr>
            <w:tcW w:w="1869" w:type="dxa"/>
          </w:tcPr>
          <w:p w14:paraId="58E95AE2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&lt;24,3</w:t>
            </w:r>
          </w:p>
        </w:tc>
        <w:tc>
          <w:tcPr>
            <w:tcW w:w="1869" w:type="dxa"/>
          </w:tcPr>
          <w:p w14:paraId="0B5083DF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24,3 – 30,3</w:t>
            </w:r>
          </w:p>
        </w:tc>
        <w:tc>
          <w:tcPr>
            <w:tcW w:w="1869" w:type="dxa"/>
          </w:tcPr>
          <w:p w14:paraId="2ADFA77A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30,4 – 34,3</w:t>
            </w:r>
          </w:p>
        </w:tc>
        <w:tc>
          <w:tcPr>
            <w:tcW w:w="1869" w:type="dxa"/>
          </w:tcPr>
          <w:p w14:paraId="6128C644" w14:textId="77777777" w:rsidR="0072220C" w:rsidRPr="009C1A91" w:rsidRDefault="0072220C" w:rsidP="00451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9C1A91">
              <w:rPr>
                <w:rFonts w:ascii="Times New Roman" w:hAnsi="Times New Roman" w:cs="Times New Roman"/>
                <w:sz w:val="24"/>
                <w:szCs w:val="24"/>
              </w:rPr>
              <w:t>≥35,4</w:t>
            </w:r>
          </w:p>
        </w:tc>
      </w:tr>
    </w:tbl>
    <w:p w14:paraId="7E63C1F0" w14:textId="77777777" w:rsidR="0072220C" w:rsidRPr="00974558" w:rsidRDefault="0072220C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77E31813" w14:textId="77777777" w:rsidR="00BC0F9D" w:rsidRPr="00D17ED3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Е.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Меllits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ін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запропонували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вмісту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води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(у кг)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стать.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Наводимо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розрахункову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формулу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вмісту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води</w:t>
      </w:r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організмі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</w:p>
    <w:p w14:paraId="5E1F76F4" w14:textId="2A7003C7" w:rsidR="00BC0F9D" w:rsidRPr="00B94171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="00B9417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:</w:t>
      </w:r>
    </w:p>
    <w:p w14:paraId="782357C3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Н2О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(%) = 1,065 + 0,603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МТ</w:t>
      </w:r>
    </w:p>
    <w:p w14:paraId="7EEACDF8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10ECA64C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lastRenderedPageBreak/>
        <w:t xml:space="preserve">Н2О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(%) = 1,874 + 0,493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МТ</w:t>
      </w:r>
    </w:p>
    <w:p w14:paraId="61B4672E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метод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вмісту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води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Watson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P.E.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et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al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запропонували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ураховувати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стать,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вагу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широко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0E74B0B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Розрахунок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вмісту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води в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організмі</w:t>
      </w:r>
      <w:proofErr w:type="spellEnd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7ED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такою формулою:</w:t>
      </w:r>
    </w:p>
    <w:p w14:paraId="2436BE16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63272AB5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Н2О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(л) =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0,09516 × </w:t>
      </w:r>
      <w:proofErr w:type="spellStart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Вік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+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0,1074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ДТ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см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+ 0,3362×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МТ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кг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 + 2,447</w:t>
      </w:r>
    </w:p>
    <w:p w14:paraId="709E3DFD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01BD03C2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Н2О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(л) = 0,1069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ДТ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см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+ 0,2466 ×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МТ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кг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‒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2,097</w:t>
      </w:r>
    </w:p>
    <w:p w14:paraId="4FAAEBCD" w14:textId="1DC8A2ED" w:rsidR="00BC0F9D" w:rsidRPr="00974558" w:rsidRDefault="00BC0F9D" w:rsidP="008F2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Широкого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набули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прилади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засновані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біоелектричним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опором тканин.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Так,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багатофункціональний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біоімпедансний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монітор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BF-511 (HF-511 T-E),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фірми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OMRON»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розроблено</w:t>
      </w:r>
      <w:proofErr w:type="spellEnd"/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основі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останніх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заснована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істотних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відмінностях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питомої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електропровідності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тканини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Прийнятна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відтворюваність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портативність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зручність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автоматичної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обробки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обумовили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біоімпедансометрія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стала одним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популярних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компонентів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Перевага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одночасної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таких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значущих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активна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обмін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інтегральні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3D72F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але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локальні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подібно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комп'ютерної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томографії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Прилад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всі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компоненти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4-х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сенсорної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технології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долоні</w:t>
      </w:r>
      <w:proofErr w:type="spellEnd"/>
      <w:r w:rsidR="008F2120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стопи.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пропускається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слабкий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електричний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струм,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абсолютно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нешкідливим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не </w:t>
      </w:r>
      <w:proofErr w:type="spellStart"/>
      <w:r w:rsidRPr="00974558">
        <w:rPr>
          <w:rFonts w:ascii="Times New Roman" w:eastAsia="TimesNewRoman" w:hAnsi="Times New Roman" w:cs="Times New Roman"/>
          <w:color w:val="222222"/>
          <w:sz w:val="28"/>
          <w:szCs w:val="28"/>
        </w:rPr>
        <w:t>відчувається</w:t>
      </w:r>
      <w:proofErr w:type="spellEnd"/>
      <w:r w:rsidRPr="00974558">
        <w:rPr>
          <w:rFonts w:ascii="Times New Roman" w:eastAsia="TimesNew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процедури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тканини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точного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зручного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зчитування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Omron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BF-511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поділяє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жиру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12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рівнів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»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«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». Так само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вісцерального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жиру,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оточує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B24F462" w14:textId="1B6EBA7E" w:rsidR="00BC0F9D" w:rsidRPr="00974558" w:rsidRDefault="00BB36C2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3</w:t>
      </w:r>
      <w:r w:rsidR="00BC0F9D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Методи</w:t>
      </w:r>
      <w:proofErr w:type="spellEnd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оцінки</w:t>
      </w:r>
      <w:proofErr w:type="spellEnd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фізичного</w:t>
      </w:r>
      <w:proofErr w:type="spellEnd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C0F9D" w:rsidRPr="0097455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розвитку</w:t>
      </w:r>
      <w:proofErr w:type="spellEnd"/>
    </w:p>
    <w:p w14:paraId="03C03670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окремі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співвідношення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взаємозв’язок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будь-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спеціалізацію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кваліфікацію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тих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хто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один і той же за величиною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сприятливим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несприятливим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спеціалізації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якісна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поширені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метод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перцентилей,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FF50A46" w14:textId="77777777" w:rsidR="00BC0F9D" w:rsidRPr="002D1CD0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D1CD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2D1CD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антропометричних</w:t>
      </w:r>
      <w:proofErr w:type="spellEnd"/>
      <w:r w:rsidRPr="002D1CD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1CD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стандартів</w:t>
      </w:r>
      <w:proofErr w:type="spellEnd"/>
    </w:p>
    <w:p w14:paraId="76982A58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Антропометричні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стандарти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певних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отримуються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статистичної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обробки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великої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однорідного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складом контингенту людей (за</w:t>
      </w:r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спеціалізації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.).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містять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певної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віково-статевої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людей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групові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2D1CD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певним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ростовим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групам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ростові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469D692E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оціночній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арифметичної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(М)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кожної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вказані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середньоквадратичного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(±σ),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допустиму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Проводиться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кожною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причому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середньоарифметичною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величиною, яка є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всього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контингенту, 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оцінюються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стандартами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тієї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зрістової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 яку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входить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стоячи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FD8E341" w14:textId="77777777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Оцінка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стандартами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чином: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наскільки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же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стандартами.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даними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певної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даними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ділять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квадратичного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частка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буде в межах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 до ±0,5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сигми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 «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частки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+1,0 до 2,0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сигми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«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висока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межах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-0,5 до -1,0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сигми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«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-1,0 до -2,0 ‒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», а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-2,0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сигми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».</w:t>
      </w:r>
    </w:p>
    <w:p w14:paraId="5E92EA69" w14:textId="06A1072B" w:rsidR="00BC0F9D" w:rsidRPr="00974558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Метод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антропометричного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профілю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це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графічне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зображення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результатів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показників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методом</w:t>
      </w:r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стандартів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усі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</w:t>
      </w:r>
      <w:r w:rsidR="008F2120" w:rsidRPr="008F212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сигмах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переносять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сітку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графах (для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послідовно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з'єднують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лініями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крива і є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графіку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видно,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 межах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судити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гармонійність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дисгармонійність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певного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контингенту.</w:t>
      </w:r>
    </w:p>
    <w:p w14:paraId="4537A805" w14:textId="77777777" w:rsidR="00BC0F9D" w:rsidRPr="0034374F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Недолік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тому,</w:t>
      </w:r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середнє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служити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критерієм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мінливості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незв'язаних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собою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ж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відносяться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для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точного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потрібні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 кореляції.</w:t>
      </w:r>
      <w:r w:rsidRPr="00974558">
        <w:rPr>
          <w:rFonts w:ascii="Times New Roman" w:eastAsia="TimesNewRoman" w:hAnsi="Times New Roman" w:cs="Times New Roman"/>
          <w:color w:val="FFFFFF"/>
          <w:sz w:val="28"/>
          <w:szCs w:val="28"/>
        </w:rPr>
        <w:t>73</w:t>
      </w:r>
    </w:p>
    <w:p w14:paraId="0335948C" w14:textId="77777777" w:rsidR="00BC0F9D" w:rsidRPr="0034374F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4374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34374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кореляції</w:t>
      </w:r>
      <w:proofErr w:type="spellEnd"/>
    </w:p>
    <w:p w14:paraId="39907256" w14:textId="77777777" w:rsidR="00BC0F9D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34374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34374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кореляції</w:t>
      </w:r>
      <w:proofErr w:type="spellEnd"/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визначає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взаємозв’язки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співвідношення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кореляції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між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різними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ознаками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фізичного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C32941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надає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оцінювати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об’єктивними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кількісними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певні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Чим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корелятивних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взаємозв’язків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досконаліша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біологічна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взаємозв’язок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кількісно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коефіцієнтом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кореляції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(r).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статистичний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обробки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цифрових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Чим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взаємозв'язку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соматометричними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коефіцієнт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регресії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(R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за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обчислити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 яку</w:t>
      </w:r>
      <w:proofErr w:type="gram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одна</w:t>
      </w:r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зміні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іншої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взаємозалежної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нею</w:t>
      </w:r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одиницю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Частка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«нормальною»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окружністю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для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зросту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фактичною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масою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окружністю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обстеженого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величину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сигми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регресії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знаходять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коливатися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0 до ±1. Чим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ближче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одиниці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тіснішим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взаємозв'язок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Позитивним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зв'язком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якому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іншої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разі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кореляції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зв'язок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зворотним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збільшенням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іншої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у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3437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спокою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знижується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ЖЄЛ </w:t>
      </w:r>
      <w:proofErr w:type="spellStart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збільшується</w:t>
      </w:r>
      <w:proofErr w:type="spellEnd"/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757F1EEA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179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A179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індексів</w:t>
      </w:r>
      <w:proofErr w:type="spellEnd"/>
    </w:p>
    <w:p w14:paraId="28D1E767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5" w:name="_Hlk147761735"/>
      <w:r w:rsidRPr="00A179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A179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індексів</w:t>
      </w:r>
      <w:proofErr w:type="spellEnd"/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співвідношення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окремими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антропометричними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надати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орієнтовне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пропорційності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цілого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ряду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5"/>
    <w:p w14:paraId="17A71F94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proofErr w:type="spellStart"/>
      <w:r w:rsidRPr="00A179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Масо-ростовий</w:t>
      </w:r>
      <w:proofErr w:type="spellEnd"/>
      <w:r w:rsidRPr="00A179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показник</w:t>
      </w:r>
      <w:proofErr w:type="spellEnd"/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Існує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саме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01733D59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а) </w:t>
      </w:r>
      <w:bookmarkStart w:id="6" w:name="_Hlk147762452"/>
      <w:proofErr w:type="spellStart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Кетле</w:t>
      </w:r>
      <w:r w:rsidRPr="008357B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(ІК)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показує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грамів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припадає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сантиметр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грамах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поділити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см:</w:t>
      </w:r>
    </w:p>
    <w:p w14:paraId="3D0524DF" w14:textId="77777777" w:rsidR="00BC0F9D" w:rsidRPr="001C5DC0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Кетле = </w:t>
      </w:r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МТ </w:t>
      </w:r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(</w:t>
      </w:r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proofErr w:type="gramStart"/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) :</w:t>
      </w:r>
      <w:proofErr w:type="gramEnd"/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ДТ </w:t>
      </w:r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(</w:t>
      </w:r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см</w:t>
      </w:r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)</w:t>
      </w:r>
    </w:p>
    <w:p w14:paraId="096458EE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нормі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Кетле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коливається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у межах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350-400 г/см 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325-375 г/см 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500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свідчать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300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про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трофіки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нормативними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величинами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вважають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: 325 г/см для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хлопчиків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318 г/см 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6"/>
    <w:p w14:paraId="69B46033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маси</w:t>
      </w:r>
      <w:proofErr w:type="spellEnd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(ІМТ)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 квадрату</w:t>
      </w:r>
      <w:proofErr w:type="gram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широко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практиці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 Для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ІМТ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кг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поділити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м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²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DB7824" w14:textId="77777777" w:rsidR="00BC0F9D" w:rsidRPr="001C5DC0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ІМТ = </w:t>
      </w:r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МТ (кг</w:t>
      </w:r>
      <w:proofErr w:type="gramStart"/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) :</w:t>
      </w:r>
      <w:proofErr w:type="gramEnd"/>
      <w:r w:rsidRPr="001C5DC0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ДТ (м</w:t>
      </w:r>
      <w:r w:rsidRPr="001C5DC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²)</w:t>
      </w:r>
    </w:p>
    <w:p w14:paraId="499CE155" w14:textId="77777777" w:rsidR="00BC0F9D" w:rsidRPr="001C5DC0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bookmarkStart w:id="7" w:name="_Hlk147762845"/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(ІМТ)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ум.од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означає</w:t>
      </w:r>
      <w:proofErr w:type="spellEnd"/>
      <w:r w:rsidRPr="001C5DC0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дефіцит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до 18,5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недостатність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1C5DC0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(МТ);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18,5 до 24,9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МТ;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25,0-29,9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надлишкову</w:t>
      </w:r>
      <w:proofErr w:type="spellEnd"/>
      <w:r w:rsidRPr="001C5DC0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МТ; 30,0-34,9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35,0-39,9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1C5DC0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40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ум.од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ІІІ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27D5512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8" w:name="_Hlk147762977"/>
      <w:bookmarkEnd w:id="7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розрахунку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ідеальної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маси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використовують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A173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формулу</w:t>
      </w:r>
      <w:r w:rsidRPr="000A173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Лоренца</w:t>
      </w:r>
      <w:r w:rsidRPr="000A173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</w:p>
    <w:p w14:paraId="3D354930" w14:textId="77777777" w:rsidR="00BC0F9D" w:rsidRPr="00181A54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МТ = ДТ – [100 – 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ДТ </w:t>
      </w:r>
      <w:r w:rsidRPr="0018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−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150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4]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bookmarkEnd w:id="8"/>
    <w:p w14:paraId="40459260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2. </w:t>
      </w:r>
      <w:bookmarkStart w:id="9" w:name="_Hlk147763129"/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Зросто-масовий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Брока-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Бругша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придатний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лише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людей,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знаходиться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у межах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нижче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155 см і не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185 см.</w:t>
      </w:r>
    </w:p>
    <w:p w14:paraId="480D41D8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трьома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формулами:</w:t>
      </w:r>
    </w:p>
    <w:p w14:paraId="3FA3D48F" w14:textId="77777777" w:rsidR="00BC0F9D" w:rsidRPr="00181A54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ДТ (см) – 100 =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маса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, кг (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якщо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зріст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155-165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см)</w:t>
      </w:r>
    </w:p>
    <w:p w14:paraId="0B1E4AAB" w14:textId="77777777" w:rsidR="00BC0F9D" w:rsidRPr="00181A54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ДТ (см) – 105 =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маса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, кг (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якщо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зріст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165-175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см)</w:t>
      </w:r>
    </w:p>
    <w:p w14:paraId="242337FF" w14:textId="77777777" w:rsidR="00BC0F9D" w:rsidRPr="00181A54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ДТ (см) – 110 =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маса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, кг (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якщо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зріст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175-185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см)</w:t>
      </w:r>
    </w:p>
    <w:p w14:paraId="7627FC1D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3</w:t>
      </w:r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стрункості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(ІС):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даний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масо-ростовий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популярний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європейських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країнах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серед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молодих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BE306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вираховується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формулою:</w:t>
      </w:r>
    </w:p>
    <w:p w14:paraId="76FFD380" w14:textId="77777777" w:rsidR="00BC0F9D" w:rsidRPr="008357B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ІС = </w:t>
      </w:r>
      <w:r w:rsidRPr="008357B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(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МТ 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кг </w:t>
      </w:r>
      <w:r w:rsidRPr="008357B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ДТ см – 10</w:t>
      </w:r>
      <w:r w:rsidRPr="008357B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 :10</w:t>
      </w:r>
    </w:p>
    <w:p w14:paraId="4F61D627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0,8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вага;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0,81-0,9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BE306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стрункість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0,91-1,0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вага; 1,1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9"/>
    <w:p w14:paraId="77616B5C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lastRenderedPageBreak/>
        <w:t xml:space="preserve">4. 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Життєвий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(ЖІ)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об’єм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життєвої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ємності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легенів</w:t>
      </w:r>
      <w:proofErr w:type="spellEnd"/>
      <w:r w:rsidRPr="000A173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приходиться на 1 кг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0A173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6F60966A" w14:textId="77777777" w:rsidR="00BC0F9D" w:rsidRPr="00181A54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 = ЖЄЛ (мл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1E73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МТ (кг)</w:t>
      </w:r>
    </w:p>
    <w:p w14:paraId="67775339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нормі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життєвий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нетренованих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65-70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мл./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кг,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не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55-60 мл./кг;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даний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вищий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7C08F24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5. 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Ерісмана</w:t>
      </w:r>
      <w:proofErr w:type="spellEnd"/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пропорційність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застосовується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вираховується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шляхом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віднімання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окружності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см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половин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см:</w:t>
      </w:r>
    </w:p>
    <w:p w14:paraId="61404552" w14:textId="77777777" w:rsidR="00BC0F9D" w:rsidRPr="00181A54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ІЕ = ОГК (см) –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ДТ (см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2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)</w:t>
      </w:r>
      <w:r w:rsidRPr="00181A54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>6</w:t>
      </w:r>
    </w:p>
    <w:p w14:paraId="79B0548B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Даний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нормі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+5,8 см 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юнаків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+3,8 см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дівчат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вказує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добре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розвинену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грудну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вузьку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грудну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CA85F10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6.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Показник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міцності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тілобудови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Піньє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):</w:t>
      </w:r>
    </w:p>
    <w:p w14:paraId="6253F1B4" w14:textId="77777777" w:rsidR="00BC0F9D" w:rsidRPr="00181A54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 = P – (М + О)</w:t>
      </w:r>
    </w:p>
    <w:p w14:paraId="496C8133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 І – величина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Р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(см), М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(кг), О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окружність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(см).</w:t>
      </w:r>
    </w:p>
    <w:p w14:paraId="62A55033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10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вказує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міцну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10 до 20 – добру,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21 до 25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середню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26 до 35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слабку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понад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36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дуже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слабку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B02AA16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7.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пропорційності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тілобудови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Пірке-Бедузі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</w:t>
      </w:r>
      <w:proofErr w:type="spellEnd"/>
      <w:r w:rsidRPr="00181A5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пропорційність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нижніх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тулуба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0440DF9" w14:textId="77777777" w:rsidR="00BC0F9D" w:rsidRPr="00181A54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0" w:name="_Hlk147763862"/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Пірке-Бедузі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= [(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ДТстоячи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ДТсидячи</w:t>
      </w:r>
      <w:proofErr w:type="spellEnd"/>
      <w:proofErr w:type="gram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) :</w:t>
      </w:r>
      <w:proofErr w:type="gram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ДТсидячи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] 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× 100</w:t>
      </w:r>
    </w:p>
    <w:p w14:paraId="3DD8C639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 ДТ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, см.</w:t>
      </w:r>
    </w:p>
    <w:p w14:paraId="40395E76" w14:textId="77777777" w:rsidR="00BC0F9D" w:rsidRPr="001E7354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Величина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межах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87-92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</w:t>
      </w:r>
      <w:r w:rsidRPr="00181A5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пропорційну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87%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81A5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нижніх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мала, 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92%</w:t>
      </w:r>
      <w:r w:rsidRPr="00181A5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велика.</w:t>
      </w:r>
    </w:p>
    <w:bookmarkEnd w:id="10"/>
    <w:p w14:paraId="73E9A1F7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>8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Силові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індекси</w:t>
      </w:r>
      <w:proofErr w:type="spellEnd"/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відображають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груп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4F77D69" w14:textId="77777777" w:rsidR="00BC0F9D" w:rsidRPr="00181A54" w:rsidRDefault="00BC0F9D" w:rsidP="004D4D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1E73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lastRenderedPageBreak/>
        <w:t>Силовий</w:t>
      </w:r>
      <w:proofErr w:type="spellEnd"/>
      <w:r w:rsidRPr="001E73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73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73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(СІ)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[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(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кг</w:t>
      </w:r>
      <w:proofErr w:type="gramStart"/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>) :</w:t>
      </w:r>
      <w:proofErr w:type="gramEnd"/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МТ </w:t>
      </w:r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кг</w:t>
      </w:r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181A54">
        <w:rPr>
          <w:rFonts w:ascii="Times New Roman" w:eastAsia="TimesNewRoman,Italic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× 100 %</w:t>
      </w:r>
    </w:p>
    <w:p w14:paraId="05930894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 Д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динамометрія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кистьова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станова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4BCCAAA" w14:textId="7777777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сильнішої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руки)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70-75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%,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50-60 %.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станової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середньому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200-220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%,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135-150 %.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кисті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середньому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чоловіків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75-81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%,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60-70%;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станової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сили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досяга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ють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260-300%, у спортсменок – 150-200%.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Отже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соматоскопія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антропометрія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валідними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параметрами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відіграють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провідну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роль 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занять з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спорту.</w:t>
      </w:r>
    </w:p>
    <w:p w14:paraId="09B7BEBE" w14:textId="77777777" w:rsidR="00BC0F9D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91D308D" w14:textId="77777777" w:rsidR="00BC0F9D" w:rsidRPr="00DB7B38" w:rsidRDefault="00BC0F9D" w:rsidP="00BC0F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proofErr w:type="spellStart"/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онтрол</w:t>
      </w:r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ьні</w:t>
      </w:r>
      <w:proofErr w:type="spellEnd"/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п</w:t>
      </w:r>
      <w:proofErr w:type="spellStart"/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итання</w:t>
      </w:r>
      <w:proofErr w:type="spellEnd"/>
    </w:p>
    <w:p w14:paraId="2535ABCC" w14:textId="79653AD5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Дайте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характеристику методу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антропометрії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70C64AA" w14:textId="283C7C23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2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Яким чином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вимірюються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517E8009" w14:textId="4DF1C759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C0F9D">
        <w:rPr>
          <w:rFonts w:ascii="Times New Roman" w:eastAsia="TimesNewRoman" w:hAnsi="Times New Roman" w:cs="Times New Roman"/>
          <w:color w:val="000000"/>
          <w:sz w:val="28"/>
          <w:szCs w:val="28"/>
        </w:rPr>
        <w:t>3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Вимір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окружності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клітки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екскурсії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D02AE89" w14:textId="415BFE61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C0F9D">
        <w:rPr>
          <w:rFonts w:ascii="Times New Roman" w:eastAsia="TimesNewRoman" w:hAnsi="Times New Roman" w:cs="Times New Roman"/>
          <w:color w:val="000000"/>
          <w:sz w:val="28"/>
          <w:szCs w:val="28"/>
        </w:rPr>
        <w:t>4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життєвої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ємності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AEEB2BB" w14:textId="35186C4E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C0F9D">
        <w:rPr>
          <w:rFonts w:ascii="Times New Roman" w:eastAsia="TimesNewRoman" w:hAnsi="Times New Roman" w:cs="Times New Roman"/>
          <w:color w:val="000000"/>
          <w:sz w:val="28"/>
          <w:szCs w:val="28"/>
        </w:rPr>
        <w:t>5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Як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сила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24B9E9A" w14:textId="2B9FC103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6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Вимір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ширини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плечей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діаметру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тазу.</w:t>
      </w:r>
    </w:p>
    <w:p w14:paraId="0A105EBA" w14:textId="34FFCABF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7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охватів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10EC4D0" w14:textId="451D8670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8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компонентного складу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EA11EBB" w14:textId="54CD07FA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9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Охарактеризуйте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624A422" w14:textId="3699D547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10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Зазначте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методом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кореляції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6B968AB" w14:textId="78DC1E33" w:rsidR="00BC0F9D" w:rsidRPr="00A1792E" w:rsidRDefault="00BC0F9D" w:rsidP="00BC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11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Охарактеризуйте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перцентилей.</w:t>
      </w:r>
    </w:p>
    <w:p w14:paraId="2DB1EA34" w14:textId="488D159D" w:rsidR="00BC0F9D" w:rsidRDefault="00BC0F9D" w:rsidP="00BC0F9D"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</w:t>
      </w:r>
      <w:proofErr w:type="spellEnd"/>
    </w:p>
    <w:sectPr w:rsidR="00BC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177F"/>
    <w:multiLevelType w:val="hybridMultilevel"/>
    <w:tmpl w:val="535094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9D"/>
    <w:rsid w:val="00111DBA"/>
    <w:rsid w:val="00261624"/>
    <w:rsid w:val="00343BF0"/>
    <w:rsid w:val="004746D3"/>
    <w:rsid w:val="004D4D71"/>
    <w:rsid w:val="005E0BB6"/>
    <w:rsid w:val="0072220C"/>
    <w:rsid w:val="00762968"/>
    <w:rsid w:val="007B3FAA"/>
    <w:rsid w:val="008F2120"/>
    <w:rsid w:val="00A70E56"/>
    <w:rsid w:val="00A733E5"/>
    <w:rsid w:val="00B94171"/>
    <w:rsid w:val="00BB36C2"/>
    <w:rsid w:val="00BC0F9D"/>
    <w:rsid w:val="00C32B20"/>
    <w:rsid w:val="00DA2F89"/>
    <w:rsid w:val="00E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CBB6"/>
  <w15:chartTrackingRefBased/>
  <w15:docId w15:val="{05840804-9EE5-4928-86FF-012D9225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9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14</cp:revision>
  <dcterms:created xsi:type="dcterms:W3CDTF">2023-08-04T06:56:00Z</dcterms:created>
  <dcterms:modified xsi:type="dcterms:W3CDTF">2023-11-01T16:12:00Z</dcterms:modified>
</cp:coreProperties>
</file>