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КИЇВСЬКИЙ НАЦІОНАЛЬНИЙ УНІВЕРСИТЕТ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БУДІВНИЦТВА І АРХІТЕКТУРИ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after="0" w:line="240" w:lineRule="auto"/>
        <w:ind w:left="778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7788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Бакалавр</w:t>
      </w:r>
    </w:p>
    <w:p>
      <w:pPr>
        <w:spacing w:after="0" w:line="240" w:lineRule="auto"/>
        <w:ind w:left="7788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Кафедра інформаційних технологій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є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ктування та прикладної математики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</w:p>
    <w:p>
      <w:pPr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hAnsi="Times New Roman" w:eastAsia="Calibri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uk-UA"/>
        </w:rPr>
        <w:t>«ЗАТВЕРДЖУЮ»</w:t>
      </w:r>
    </w:p>
    <w:p>
      <w:pPr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hAnsi="Times New Roman" w:eastAsia="Calibri" w:cs="Times New Roman"/>
          <w:spacing w:val="-10"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spacing w:val="-10"/>
          <w:sz w:val="24"/>
          <w:szCs w:val="24"/>
          <w:lang w:eastAsia="uk-UA"/>
        </w:rPr>
        <w:t xml:space="preserve">Декан будівельно-технологічного факультету </w:t>
      </w:r>
    </w:p>
    <w:p>
      <w:pPr>
        <w:autoSpaceDE w:val="0"/>
        <w:autoSpaceDN w:val="0"/>
        <w:adjustRightInd w:val="0"/>
        <w:spacing w:after="0" w:line="240" w:lineRule="auto"/>
        <w:ind w:left="4968"/>
        <w:contextualSpacing/>
        <w:jc w:val="center"/>
        <w:rPr>
          <w:rFonts w:ascii="Times New Roman" w:hAnsi="Times New Roman" w:eastAsia="Calibri" w:cs="Times New Roman"/>
          <w:bCs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uk-UA"/>
        </w:rPr>
        <w:t>____________________/Володимир ГОЦ /</w:t>
      </w:r>
    </w:p>
    <w:p>
      <w:pPr>
        <w:autoSpaceDE w:val="0"/>
        <w:autoSpaceDN w:val="0"/>
        <w:adjustRightInd w:val="0"/>
        <w:spacing w:after="0" w:line="240" w:lineRule="auto"/>
        <w:ind w:left="4968"/>
        <w:contextualSpacing/>
        <w:rPr>
          <w:rFonts w:ascii="Times New Roman" w:hAnsi="Times New Roman" w:eastAsia="Calibri" w:cs="Times New Roman"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bCs/>
          <w:sz w:val="24"/>
          <w:szCs w:val="24"/>
          <w:lang w:eastAsia="uk-UA"/>
        </w:rPr>
        <w:t>«____» ________________ 202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en-US" w:eastAsia="uk-UA"/>
        </w:rPr>
        <w:t>3</w:t>
      </w:r>
      <w:r>
        <w:rPr>
          <w:rFonts w:ascii="Times New Roman" w:hAnsi="Times New Roman" w:eastAsia="Calibri" w:cs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>року</w:t>
      </w:r>
    </w:p>
    <w:p>
      <w:pPr>
        <w:spacing w:after="0" w:line="240" w:lineRule="auto"/>
        <w:ind w:firstLine="612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РОБОЧА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  <w:t xml:space="preserve">ПРОГРАМА НАВЧАЛЬНОЇ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>ОСВІТНЬОЇ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uk-UA" w:eastAsia="ru-RU"/>
        </w:rPr>
        <w:t xml:space="preserve"> КОМПОНЕНТИ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«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ru-RU" w:eastAsia="ru-RU"/>
        </w:rPr>
        <w:t>Вища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та прикладна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ru-RU" w:eastAsia="ru-RU"/>
        </w:rPr>
        <w:t xml:space="preserve"> математика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>»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(назва навчальної дисципліни)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uk-UA"/>
              </w:rPr>
              <w:t>шифр</w:t>
            </w:r>
          </w:p>
        </w:tc>
        <w:tc>
          <w:tcPr>
            <w:tcW w:w="87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uk-UA"/>
              </w:rPr>
              <w:t>назва спеціальності, назва освітньої програми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7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ru-RU" w:eastAsia="ru-RU"/>
              </w:rPr>
              <w:t>Маркетинг, ОП «Маркетинг»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82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  <w:u w:val="single"/>
                <w:lang w:eastAsia="uk-UA"/>
              </w:rPr>
            </w:pPr>
          </w:p>
        </w:tc>
      </w:tr>
    </w:tbl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40" w:type="dxa"/>
          <w:bottom w:w="0" w:type="dxa"/>
          <w:right w:w="40" w:type="dxa"/>
        </w:tblCellMar>
      </w:tblPr>
      <w:tblGrid>
        <w:gridCol w:w="6967"/>
        <w:gridCol w:w="246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92" w:type="pct"/>
            <w:tcBorders>
              <w:bottom w:val="nil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  <w:t>Розробник: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308" w:type="pct"/>
            <w:tcBorders>
              <w:bottom w:val="nil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92" w:type="pct"/>
            <w:tcBorders>
              <w:bottom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  <w:lang w:eastAsia="ru-RU"/>
              </w:rPr>
              <w:t>Олег ШУТОВСЬКИЙ, канд. фіз.-мат. н., доцент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8" w:type="pct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3692" w:type="pct"/>
            <w:tcBorders>
              <w:top w:val="single" w:color="auto" w:sz="4" w:space="0"/>
              <w:bottom w:val="nil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(прізвище та ініціали, науковий ступінь, звання)</w:t>
            </w:r>
          </w:p>
        </w:tc>
        <w:tc>
          <w:tcPr>
            <w:tcW w:w="1308" w:type="pc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(підпис)</w:t>
            </w:r>
          </w:p>
        </w:tc>
      </w:tr>
    </w:tbl>
    <w:p>
      <w:pPr>
        <w:spacing w:after="0" w:line="240" w:lineRule="auto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351"/>
        <w:contextualSpacing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>Робоча програма затверджена на засіданні кафедри інформаційних технологій проектування та прикладної математики</w:t>
      </w:r>
    </w:p>
    <w:p>
      <w:pPr>
        <w:spacing w:after="0" w:line="240" w:lineRule="auto"/>
        <w:ind w:left="357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left="340"/>
        <w:contextualSpacing/>
        <w:rPr>
          <w:rFonts w:ascii="Times New Roman" w:hAnsi="Times New Roman" w:eastAsia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протокол 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uk-UA"/>
        </w:rPr>
        <w:t xml:space="preserve">№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en-US" w:eastAsia="uk-UA"/>
        </w:rPr>
        <w:t xml:space="preserve">8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від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en-US" w:eastAsia="uk-UA"/>
        </w:rPr>
        <w:t>30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uk-UA"/>
        </w:rPr>
        <w:t>червня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uk-UA"/>
        </w:rPr>
        <w:t>23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>року</w:t>
      </w:r>
    </w:p>
    <w:p>
      <w:pPr>
        <w:spacing w:after="0" w:line="240" w:lineRule="auto"/>
        <w:ind w:left="340"/>
        <w:contextualSpacing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</w:p>
    <w:p>
      <w:pPr>
        <w:tabs>
          <w:tab w:val="left" w:leader="underscore" w:pos="5633"/>
          <w:tab w:val="left" w:pos="6480"/>
        </w:tabs>
        <w:spacing w:after="0" w:line="240" w:lineRule="auto"/>
        <w:ind w:left="340"/>
        <w:contextualSpacing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Завідувач кафедри ІТППМ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ab/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/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eastAsia="uk-UA"/>
        </w:rPr>
        <w:t>Олександр</w:t>
      </w:r>
      <w:r>
        <w:rPr>
          <w:rFonts w:ascii="Times New Roman" w:hAnsi="Times New Roman" w:eastAsia="Times New Roman" w:cs="Times New Roman"/>
          <w:bCs/>
          <w:sz w:val="28"/>
          <w:szCs w:val="28"/>
          <w:u w:val="single"/>
          <w:lang w:val="ru-RU" w:eastAsia="uk-UA"/>
        </w:rPr>
        <w:t xml:space="preserve"> ТЕРЕНТЬЄВ/</w:t>
      </w:r>
    </w:p>
    <w:p>
      <w:pPr>
        <w:tabs>
          <w:tab w:val="left" w:pos="9350"/>
        </w:tabs>
        <w:spacing w:after="0" w:line="240" w:lineRule="auto"/>
        <w:ind w:left="340" w:right="170"/>
        <w:contextualSpacing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lang w:eastAsia="uk-UA"/>
        </w:rPr>
        <w:t xml:space="preserve">       (підпис)                      (прізвище та ініціали)</w:t>
      </w:r>
    </w:p>
    <w:p>
      <w:pPr>
        <w:spacing w:after="0" w:line="240" w:lineRule="auto"/>
        <w:ind w:left="340" w:right="2028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tabs>
          <w:tab w:val="left" w:pos="9350"/>
        </w:tabs>
        <w:spacing w:after="0" w:line="240" w:lineRule="auto"/>
        <w:ind w:left="340" w:right="170"/>
        <w:contextualSpacing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>Гарант освітньої програми _______________/</w:t>
      </w:r>
      <w:r>
        <w:rPr>
          <w:rFonts w:ascii="Times New Roman" w:hAnsi="Times New Roman"/>
          <w:bCs/>
          <w:sz w:val="28"/>
          <w:szCs w:val="28"/>
          <w:lang w:eastAsia="uk-UA"/>
        </w:rPr>
        <w:t>Ольга ВОТЧЕНІКОВА/</w:t>
      </w:r>
    </w:p>
    <w:p>
      <w:pPr>
        <w:tabs>
          <w:tab w:val="left" w:pos="9350"/>
        </w:tabs>
        <w:spacing w:after="0" w:line="240" w:lineRule="auto"/>
        <w:ind w:left="340" w:right="170"/>
        <w:contextualSpacing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eastAsia="Times New Roman" w:cs="Times New Roman"/>
          <w:bCs/>
          <w:lang w:eastAsia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lang w:eastAsia="uk-UA"/>
        </w:rPr>
        <w:t xml:space="preserve">  (підпис)                           (прізвище та ініціали)</w:t>
      </w:r>
    </w:p>
    <w:p>
      <w:pPr>
        <w:tabs>
          <w:tab w:val="left" w:pos="9350"/>
        </w:tabs>
        <w:spacing w:after="0" w:line="240" w:lineRule="auto"/>
        <w:ind w:left="340" w:right="170"/>
        <w:contextualSpacing/>
        <w:rPr>
          <w:rFonts w:ascii="Times New Roman" w:hAnsi="Times New Roman" w:eastAsia="Times New Roman" w:cs="Times New Roman"/>
          <w:bCs/>
          <w:lang w:eastAsia="uk-UA"/>
        </w:rPr>
      </w:pPr>
      <w:r>
        <w:rPr>
          <w:rFonts w:ascii="Times New Roman" w:hAnsi="Times New Roman" w:cs="Times New Roman"/>
          <w:lang w:eastAsia="uk-UA"/>
        </w:rPr>
        <w:t xml:space="preserve"> </w:t>
      </w:r>
    </w:p>
    <w:p>
      <w:pPr>
        <w:tabs>
          <w:tab w:val="left" w:pos="9350"/>
        </w:tabs>
        <w:spacing w:after="0" w:line="240" w:lineRule="auto"/>
        <w:ind w:left="340" w:right="170"/>
        <w:contextualSpacing/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Схвалено методичною комісією спеціальності 075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“Маркетинг”</w:t>
      </w:r>
    </w:p>
    <w:p>
      <w:pPr>
        <w:spacing w:after="0" w:line="240" w:lineRule="auto"/>
        <w:ind w:left="328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leader="underscore" w:pos="2413"/>
          <w:tab w:val="left" w:leader="underscore" w:pos="3266"/>
          <w:tab w:val="left" w:leader="underscore" w:pos="4533"/>
        </w:tabs>
        <w:spacing w:after="0" w:line="240" w:lineRule="auto"/>
        <w:ind w:left="328"/>
        <w:contextualSpacing/>
        <w:rPr>
          <w:rFonts w:ascii="Times New Roman" w:hAnsi="Times New Roman" w:eastAsia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Протокол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en-US" w:eastAsia="uk-UA"/>
        </w:rPr>
        <w:t>______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від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u w:val="single"/>
          <w:lang w:val="en-US" w:eastAsia="uk-UA"/>
        </w:rPr>
        <w:t>______________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uk-UA"/>
        </w:rPr>
        <w:t>3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uk-UA"/>
        </w:rPr>
        <w:t xml:space="preserve"> року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 w:eastAsia="uk-UA"/>
        </w:rPr>
        <w:t xml:space="preserve">  </w:t>
      </w:r>
    </w:p>
    <w:p>
      <w:pPr>
        <w:spacing w:after="0" w:line="240" w:lineRule="auto"/>
        <w:ind w:left="328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360" w:lineRule="auto"/>
        <w:ind w:left="380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  <w:t>ВИТЯГ З РОБОЧОГО НАВЧАЛЬНОГО ПЛАНУ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280"/>
        <w:gridCol w:w="753"/>
        <w:gridCol w:w="644"/>
        <w:gridCol w:w="641"/>
        <w:gridCol w:w="611"/>
        <w:gridCol w:w="624"/>
        <w:gridCol w:w="586"/>
        <w:gridCol w:w="600"/>
        <w:gridCol w:w="395"/>
        <w:gridCol w:w="626"/>
        <w:gridCol w:w="690"/>
        <w:gridCol w:w="595"/>
        <w:gridCol w:w="687"/>
        <w:gridCol w:w="641"/>
        <w:gridCol w:w="1432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43" w:type="dxa"/>
            <w:vMerge w:val="restart"/>
            <w:textDirection w:val="btLr"/>
            <w:vAlign w:val="center"/>
          </w:tcPr>
          <w:p>
            <w:pPr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 «Комп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ютерні науки»</w:t>
            </w:r>
          </w:p>
        </w:tc>
        <w:tc>
          <w:tcPr>
            <w:tcW w:w="6765" w:type="dxa"/>
            <w:gridSpan w:val="11"/>
            <w:vAlign w:val="center"/>
          </w:tcPr>
          <w:p>
            <w:pPr>
              <w:widowControl/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денна     </w:t>
            </w:r>
          </w:p>
        </w:tc>
        <w:tc>
          <w:tcPr>
            <w:tcW w:w="687" w:type="dxa"/>
            <w:vMerge w:val="restart"/>
            <w:textDirection w:val="btLr"/>
          </w:tcPr>
          <w:p>
            <w:pPr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1" w:type="dxa"/>
            <w:vMerge w:val="restart"/>
            <w:textDirection w:val="btLr"/>
          </w:tcPr>
          <w:p>
            <w:pPr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32" w:type="dxa"/>
            <w:vMerge w:val="restart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4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0" w:type="dxa"/>
            <w:vMerge w:val="restart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753" w:type="dxa"/>
            <w:vMerge w:val="restart"/>
            <w:textDirection w:val="btLr"/>
          </w:tcPr>
          <w:p>
            <w:pPr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706" w:type="dxa"/>
            <w:gridSpan w:val="6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Обсяг годин</w:t>
            </w:r>
            <w:r>
              <w:rPr>
                <w:rFonts w:ascii="Times New Roman" w:hAnsi="Times New Roman"/>
                <w:sz w:val="22"/>
                <w:szCs w:val="22"/>
                <w:lang w:val="en-US" w:eastAsia="uk-UA"/>
              </w:rPr>
              <w:t>^</w:t>
            </w:r>
          </w:p>
        </w:tc>
        <w:tc>
          <w:tcPr>
            <w:tcW w:w="2306" w:type="dxa"/>
            <w:gridSpan w:val="4"/>
            <w:vMerge w:val="restart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індивідуальних робіт</w:t>
            </w:r>
          </w:p>
        </w:tc>
        <w:tc>
          <w:tcPr>
            <w:tcW w:w="687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32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4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0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vMerge w:val="restart"/>
            <w:textDirection w:val="btLr"/>
          </w:tcPr>
          <w:p>
            <w:pPr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462" w:type="dxa"/>
            <w:gridSpan w:val="4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600" w:type="dxa"/>
            <w:vMerge w:val="restart"/>
          </w:tcPr>
          <w:p>
            <w:pPr>
              <w:widowControl/>
              <w:spacing w:line="360" w:lineRule="auto"/>
              <w:contextualSpacing/>
              <w:jc w:val="both"/>
              <w:rPr>
                <w:rFonts w:hint="default" w:ascii="Times New Roman" w:hAnsi="Times New Roman"/>
                <w:sz w:val="22"/>
                <w:szCs w:val="22"/>
                <w:lang w:val="en-US" w:eastAsia="uk-U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 w:eastAsia="uk-UA"/>
              </w:rPr>
              <w:t>Сам. роб</w:t>
            </w:r>
          </w:p>
        </w:tc>
        <w:tc>
          <w:tcPr>
            <w:tcW w:w="2306" w:type="dxa"/>
            <w:gridSpan w:val="4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7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32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4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0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restart"/>
            <w:textDirection w:val="btLr"/>
          </w:tcPr>
          <w:p>
            <w:pPr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821" w:type="dxa"/>
            <w:gridSpan w:val="3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600" w:type="dxa"/>
            <w:vMerge w:val="continue"/>
            <w:tcBorders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2306" w:type="dxa"/>
            <w:gridSpan w:val="4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7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32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4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0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600" w:type="dxa"/>
            <w:vMerge w:val="continue"/>
            <w:tcBorders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95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7" w:type="dxa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gridSpan w:val="2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  <w:t>075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</w:pPr>
          </w:p>
        </w:tc>
        <w:tc>
          <w:tcPr>
            <w:tcW w:w="4280" w:type="dxa"/>
            <w:vAlign w:val="center"/>
          </w:tcPr>
          <w:p>
            <w:pP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uk-UA"/>
              </w:rPr>
              <w:t>Маркетинг</w:t>
            </w:r>
          </w:p>
          <w:p>
            <w:pP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  <w:lang w:val="uk-UA" w:eastAsia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  <w:lang w:eastAsia="uk-UA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6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sz w:val="28"/>
                <w:szCs w:val="28"/>
                <w:highlight w:val="none"/>
                <w:lang w:val="en-US" w:eastAsia="uk-UA"/>
              </w:rPr>
              <w:t>180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100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48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eastAsia="uk-UA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52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80</w:t>
            </w:r>
          </w:p>
        </w:tc>
        <w:tc>
          <w:tcPr>
            <w:tcW w:w="395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8"/>
                <w:szCs w:val="28"/>
                <w:highlight w:val="non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  <w:lang w:val="uk-UA"/>
              </w:rPr>
              <w:t>1</w:t>
            </w:r>
            <w:r>
              <w:rPr>
                <w:rFonts w:hint="default" w:ascii="Times New Roman" w:hAnsi="Times New Roman"/>
                <w:b/>
                <w:sz w:val="28"/>
                <w:szCs w:val="28"/>
                <w:highlight w:val="none"/>
                <w:lang w:val="uk-UA"/>
              </w:rPr>
              <w:t>,2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uk-UA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  <w:t>залекз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280"/>
        <w:gridCol w:w="753"/>
        <w:gridCol w:w="644"/>
        <w:gridCol w:w="641"/>
        <w:gridCol w:w="611"/>
        <w:gridCol w:w="624"/>
        <w:gridCol w:w="586"/>
        <w:gridCol w:w="675"/>
        <w:gridCol w:w="320"/>
        <w:gridCol w:w="626"/>
        <w:gridCol w:w="690"/>
        <w:gridCol w:w="595"/>
        <w:gridCol w:w="687"/>
        <w:gridCol w:w="641"/>
        <w:gridCol w:w="1432"/>
        <w:gridCol w:w="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43" w:type="dxa"/>
            <w:vMerge w:val="restart"/>
            <w:textDirection w:val="btLr"/>
            <w:vAlign w:val="center"/>
          </w:tcPr>
          <w:p>
            <w:pPr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280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 «Комп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`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ютерні науки»</w:t>
            </w:r>
          </w:p>
        </w:tc>
        <w:tc>
          <w:tcPr>
            <w:tcW w:w="6765" w:type="dxa"/>
            <w:gridSpan w:val="11"/>
            <w:vAlign w:val="center"/>
          </w:tcPr>
          <w:p>
            <w:pPr>
              <w:widowControl/>
              <w:spacing w:line="36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заочна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   </w:t>
            </w:r>
          </w:p>
        </w:tc>
        <w:tc>
          <w:tcPr>
            <w:tcW w:w="687" w:type="dxa"/>
            <w:vMerge w:val="restart"/>
            <w:textDirection w:val="btLr"/>
          </w:tcPr>
          <w:p>
            <w:pPr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Форма контролю</w:t>
            </w:r>
          </w:p>
        </w:tc>
        <w:tc>
          <w:tcPr>
            <w:tcW w:w="641" w:type="dxa"/>
            <w:vMerge w:val="restart"/>
            <w:textDirection w:val="btLr"/>
          </w:tcPr>
          <w:p>
            <w:pPr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Семестр</w:t>
            </w:r>
          </w:p>
        </w:tc>
        <w:tc>
          <w:tcPr>
            <w:tcW w:w="1432" w:type="dxa"/>
            <w:vMerge w:val="restart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Відмітка про погодження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4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0" w:type="dxa"/>
            <w:vMerge w:val="restart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753" w:type="dxa"/>
            <w:vMerge w:val="restart"/>
            <w:textDirection w:val="btLr"/>
          </w:tcPr>
          <w:p>
            <w:pPr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Кредитів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на сем.</w:t>
            </w:r>
          </w:p>
        </w:tc>
        <w:tc>
          <w:tcPr>
            <w:tcW w:w="3781" w:type="dxa"/>
            <w:gridSpan w:val="6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Обсяг годин</w:t>
            </w:r>
            <w:r>
              <w:rPr>
                <w:rFonts w:ascii="Times New Roman" w:hAnsi="Times New Roman"/>
                <w:sz w:val="22"/>
                <w:szCs w:val="22"/>
                <w:lang w:val="en-US" w:eastAsia="uk-UA"/>
              </w:rPr>
              <w:t>^</w:t>
            </w:r>
          </w:p>
        </w:tc>
        <w:tc>
          <w:tcPr>
            <w:tcW w:w="2231" w:type="dxa"/>
            <w:gridSpan w:val="4"/>
            <w:vMerge w:val="restart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індивідуальних робіт</w:t>
            </w:r>
          </w:p>
        </w:tc>
        <w:tc>
          <w:tcPr>
            <w:tcW w:w="687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32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4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0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vMerge w:val="restart"/>
            <w:textDirection w:val="btLr"/>
          </w:tcPr>
          <w:p>
            <w:pPr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2462" w:type="dxa"/>
            <w:gridSpan w:val="4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аудиторних</w:t>
            </w:r>
          </w:p>
        </w:tc>
        <w:tc>
          <w:tcPr>
            <w:tcW w:w="675" w:type="dxa"/>
            <w:vMerge w:val="restart"/>
          </w:tcPr>
          <w:p>
            <w:pPr>
              <w:widowControl/>
              <w:spacing w:line="360" w:lineRule="auto"/>
              <w:contextualSpacing/>
              <w:jc w:val="both"/>
              <w:rPr>
                <w:rFonts w:hint="default" w:ascii="Times New Roman" w:hAnsi="Times New Roman"/>
                <w:sz w:val="22"/>
                <w:szCs w:val="22"/>
                <w:lang w:val="en-US" w:eastAsia="uk-UA"/>
              </w:rPr>
            </w:pPr>
            <w:r>
              <w:rPr>
                <w:rFonts w:hint="default" w:ascii="Times New Roman" w:hAnsi="Times New Roman"/>
                <w:sz w:val="22"/>
                <w:szCs w:val="22"/>
                <w:lang w:val="en-US" w:eastAsia="uk-UA"/>
              </w:rPr>
              <w:t>Сам. роб</w:t>
            </w:r>
          </w:p>
        </w:tc>
        <w:tc>
          <w:tcPr>
            <w:tcW w:w="2231" w:type="dxa"/>
            <w:gridSpan w:val="4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7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32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94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0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restart"/>
            <w:textDirection w:val="btLr"/>
          </w:tcPr>
          <w:p>
            <w:pPr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821" w:type="dxa"/>
            <w:gridSpan w:val="3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uk-UA"/>
              </w:rPr>
              <w:t>у тому числі</w:t>
            </w:r>
          </w:p>
        </w:tc>
        <w:tc>
          <w:tcPr>
            <w:tcW w:w="675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2"/>
                <w:szCs w:val="22"/>
                <w:lang w:val="uk-UA" w:eastAsia="uk-UA"/>
              </w:rPr>
            </w:pPr>
          </w:p>
        </w:tc>
        <w:tc>
          <w:tcPr>
            <w:tcW w:w="2231" w:type="dxa"/>
            <w:gridSpan w:val="4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7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32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4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280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53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4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  <w:vMerge w:val="continue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1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</w:p>
        </w:tc>
        <w:tc>
          <w:tcPr>
            <w:tcW w:w="675" w:type="dxa"/>
            <w:vMerge w:val="continue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0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26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РГР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87" w:type="dxa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dxa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70" w:type="dxa"/>
            <w:gridSpan w:val="2"/>
          </w:tcPr>
          <w:p>
            <w:pPr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  <w:t>075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</w:pP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highlight w:val="none"/>
                <w:lang w:val="uk-UA" w:eastAsia="uk-UA"/>
              </w:rPr>
            </w:pPr>
          </w:p>
        </w:tc>
        <w:tc>
          <w:tcPr>
            <w:tcW w:w="4280" w:type="dxa"/>
            <w:vAlign w:val="center"/>
          </w:tcPr>
          <w:p>
            <w:pP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  <w:lang w:val="uk-UA"/>
              </w:rPr>
              <w:t>Маркетинг</w:t>
            </w:r>
          </w:p>
          <w:p>
            <w:pPr>
              <w:rPr>
                <w:rFonts w:ascii="Times New Roman" w:hAnsi="Times New Roman"/>
                <w:bCs/>
                <w:iCs/>
                <w:sz w:val="28"/>
                <w:szCs w:val="28"/>
                <w:highlight w:val="none"/>
                <w:lang w:val="uk-UA" w:eastAsia="uk-UA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  <w:lang w:eastAsia="uk-UA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6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bCs w:val="0"/>
                <w:i/>
                <w:sz w:val="28"/>
                <w:szCs w:val="28"/>
                <w:highlight w:val="none"/>
                <w:lang w:val="en-US" w:eastAsia="uk-UA"/>
              </w:rPr>
              <w:t>180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50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14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eastAsia="uk-UA"/>
              </w:rPr>
            </w:pPr>
          </w:p>
        </w:tc>
        <w:tc>
          <w:tcPr>
            <w:tcW w:w="586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36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</w:pPr>
            <w:r>
              <w:rPr>
                <w:rFonts w:hint="default" w:ascii="Times New Roman" w:hAnsi="Times New Roman"/>
                <w:b/>
                <w:i/>
                <w:sz w:val="28"/>
                <w:szCs w:val="28"/>
                <w:highlight w:val="none"/>
                <w:lang w:val="en-US" w:eastAsia="uk-UA"/>
              </w:rPr>
              <w:t>130</w:t>
            </w:r>
          </w:p>
        </w:tc>
        <w:tc>
          <w:tcPr>
            <w:tcW w:w="320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sz w:val="28"/>
                <w:szCs w:val="28"/>
                <w:highlight w:val="none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none"/>
                <w:lang w:val="uk-UA"/>
              </w:rPr>
              <w:t>1</w:t>
            </w:r>
            <w:r>
              <w:rPr>
                <w:rFonts w:hint="default" w:ascii="Times New Roman" w:hAnsi="Times New Roman"/>
                <w:b/>
                <w:sz w:val="28"/>
                <w:szCs w:val="28"/>
                <w:highlight w:val="none"/>
                <w:lang w:val="uk-UA"/>
              </w:rPr>
              <w:t>,2</w:t>
            </w:r>
            <w:bookmarkStart w:id="1" w:name="_GoBack"/>
            <w:bookmarkEnd w:id="1"/>
          </w:p>
        </w:tc>
        <w:tc>
          <w:tcPr>
            <w:tcW w:w="690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uk-UA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  <w:t>залекз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  <w:t>1</w:t>
            </w:r>
          </w:p>
          <w:p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highlight w:val="none"/>
                <w:lang w:val="uk-UA" w:eastAsia="uk-UA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none"/>
                <w:lang w:val="en-US"/>
              </w:rPr>
            </w:pPr>
          </w:p>
        </w:tc>
      </w:tr>
    </w:tbl>
    <w:p>
      <w:pPr>
        <w:tabs>
          <w:tab w:val="left" w:pos="8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6838" w:h="11906" w:orient="landscape"/>
          <w:pgMar w:top="1701" w:right="1134" w:bottom="850" w:left="1134" w:header="708" w:footer="708" w:gutter="0"/>
          <w:cols w:space="708" w:num="1"/>
          <w:docGrid w:linePitch="381" w:charSpace="0"/>
        </w:sect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Мета та завдання навчальної </w:t>
      </w:r>
      <w:r>
        <w:rPr>
          <w:rFonts w:ascii="Times New Roman" w:hAnsi="Times New Roman" w:eastAsia="Calibri" w:cs="Times New Roman"/>
          <w:b/>
          <w:sz w:val="24"/>
          <w:szCs w:val="24"/>
          <w:lang w:val="uk-UA" w:eastAsia="ru-RU"/>
        </w:rPr>
        <w:t>освітньої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uk-UA" w:eastAsia="ru-RU"/>
        </w:rPr>
        <w:t xml:space="preserve"> компоненти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Основними завданнями, що мають бути вирішені в процесі викладання </w:t>
      </w:r>
      <w:r>
        <w:rPr>
          <w:rFonts w:ascii="Times New Roman" w:hAnsi="Times New Roman" w:eastAsia="Times New Roman" w:cs="Times New Roman"/>
          <w:sz w:val="24"/>
          <w:szCs w:val="24"/>
          <w:lang w:val="uk-UA" w:eastAsia="ru-RU"/>
        </w:rPr>
        <w:t>освітньої</w:t>
      </w:r>
      <w:r>
        <w:rPr>
          <w:rFonts w:hint="default" w:ascii="Times New Roman" w:hAnsi="Times New Roman" w:eastAsia="Times New Roman" w:cs="Times New Roman"/>
          <w:sz w:val="24"/>
          <w:szCs w:val="24"/>
          <w:lang w:val="uk-UA" w:eastAsia="ru-RU"/>
        </w:rPr>
        <w:t xml:space="preserve"> компоненти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є теоретична та практична підготовка студентів з питань: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алгебри чисел;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лінійної алгебри і векторного аналізу;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математичного аналізу функцій однієї і багатьох змінних;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інтегрального аналізу та числення;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диференціальних рівнянь;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Дисципліна викладається паралельно з фундаментальними та професійно-орієнтованими  дисциплінами  „Фізика ”, „ Хімія”.   </w:t>
      </w:r>
    </w:p>
    <w:p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Низка питань, які вивчаються даною дисципліною, мають місце в білетах (комплексні завдання) на державному іспиті зі спеціальності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Компетентності здобувачів освітньої програми, що формуються в результаті засвоєння освітньої компоненти</w:t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8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Georgia"/>
                <w:b/>
                <w:lang w:val="uk"/>
              </w:rPr>
            </w:pPr>
            <w:r>
              <w:rPr>
                <w:rFonts w:ascii="Times New Roman" w:hAnsi="Times New Roman" w:eastAsia="Georgia"/>
                <w:b/>
                <w:lang w:val="uk"/>
              </w:rPr>
              <w:t>Зміст компетентності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Загальні компетентності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ЗК3.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Здатність</w:t>
            </w:r>
            <w:r>
              <w:rPr>
                <w:rFonts w:ascii="Times New Roman" w:hAnsi="Times New Roman" w:cs="Times New Roman"/>
                <w:color w:val="auto"/>
                <w:spacing w:val="13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до абстрактного мислення, аналізу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>та синтезу.</w:t>
            </w:r>
            <w:r>
              <w:rPr>
                <w:rFonts w:ascii="Times New Roman" w:hAnsi="Times New Roman" w:cs="Times New Roman"/>
                <w:color w:val="auto"/>
                <w:spacing w:val="57"/>
                <w:sz w:val="28"/>
                <w:szCs w:val="28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ЗК4.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Здатність вчитися і оволодівати сучасними знаннями.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ЗК5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ind w:left="3" w:hanging="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Визначеність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наполегливість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щодо поставлених завдань і взятих обов’язків.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71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ЗК8. </w:t>
            </w:r>
          </w:p>
        </w:tc>
        <w:tc>
          <w:tcPr>
            <w:tcW w:w="832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Здатність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проведення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досліджень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 відповідному рівні.</w:t>
            </w:r>
          </w:p>
        </w:tc>
      </w:tr>
    </w:tbl>
    <w:p/>
    <w:p>
      <w:pPr>
        <w:spacing w:line="276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Програмні результати здобувачів освітньої програми, що формуються в результаті засвоєння освітньої компоненти</w:t>
      </w:r>
    </w:p>
    <w:tbl>
      <w:tblPr>
        <w:tblStyle w:val="3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Код</w:t>
            </w:r>
          </w:p>
        </w:tc>
        <w:tc>
          <w:tcPr>
            <w:tcW w:w="836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Georgia"/>
                <w:b/>
                <w:lang w:val="uk"/>
              </w:rPr>
            </w:pPr>
            <w:r>
              <w:rPr>
                <w:rFonts w:ascii="Times New Roman" w:hAnsi="Times New Roman" w:eastAsia="Georgia"/>
                <w:b/>
                <w:lang w:val="uk"/>
              </w:rPr>
              <w:t>Програмні результати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ПР4. </w:t>
            </w:r>
          </w:p>
        </w:tc>
        <w:tc>
          <w:tcPr>
            <w:tcW w:w="8364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right="102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Збирати та аналізувати необхідну інформацію, розраховувати економічні та маркетингові показники, обґрунтовувати управлінські рішення на основі використання необхідного аналітичного й методичного інструментарію.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eastAsia="Calibri" w:cs="Times New Roman"/>
          <w:bCs/>
          <w:sz w:val="24"/>
          <w:szCs w:val="24"/>
          <w:lang w:eastAsia="ru-RU"/>
        </w:rPr>
      </w:pPr>
    </w:p>
    <w:p>
      <w:pPr>
        <w:tabs>
          <w:tab w:val="left" w:pos="284"/>
          <w:tab w:val="left" w:pos="567"/>
        </w:tabs>
        <w:suppressAutoHyphens/>
        <w:spacing w:after="0" w:line="240" w:lineRule="auto"/>
        <w:ind w:left="360"/>
        <w:jc w:val="center"/>
        <w:rPr>
          <w:rFonts w:hint="default" w:ascii="Times New Roman" w:hAnsi="Times New Roman" w:eastAsia="Calibri" w:cs="Times New Roman"/>
          <w:sz w:val="24"/>
          <w:szCs w:val="24"/>
          <w:lang w:val="uk-UA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Програма </w:t>
      </w:r>
      <w:r>
        <w:rPr>
          <w:rFonts w:ascii="Times New Roman" w:hAnsi="Times New Roman" w:eastAsia="Calibri" w:cs="Times New Roman"/>
          <w:b/>
          <w:sz w:val="24"/>
          <w:szCs w:val="24"/>
          <w:lang w:val="uk-UA" w:eastAsia="ru-RU"/>
        </w:rPr>
        <w:t>освітньої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uk-UA" w:eastAsia="ru-RU"/>
        </w:rPr>
        <w:t xml:space="preserve"> компоненти</w:t>
      </w:r>
    </w:p>
    <w:p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  <w:t xml:space="preserve">Модуль 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Лінійна алгебра, аналітична геометрія та математичний аналіз.</w:t>
      </w:r>
    </w:p>
    <w:p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Змістовий модуль 1. Лінійна алгебра та аналітична геометрія.</w:t>
      </w: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1. Числа і простори. Векторна алгебра.</w:t>
      </w: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2. Визначники і мінори матриць. Добуток векторів. Системи лінійних алгебраїчних рівнянь. Лінійні і квадратичні форми.</w:t>
      </w: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Тема 3. Аналітична геометрія. Рівняння прямих на площині і в просторі. Рівняння площини. Криві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-го порядку.</w:t>
      </w:r>
    </w:p>
    <w:p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widowControl w:val="0"/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Змістовий модуль 2. Функції однієї та багатьох змінних.</w:t>
      </w: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1. Основи математичної логіки. Послідовності і змінні. Функції однієї змінної.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2. Функції багатьох змінних. Комплексні числа.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3. Похідна функції однієї змінної. Застосування похідної. Дослідження функції однієї змінної. Диференціал функції однієї змінної. Похідна та диференціал функції багатьох змінних. Екстремум функції багатьох змінних.</w:t>
      </w: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Модуль 2. Інтеграли та диференціальні рівняння.</w:t>
      </w:r>
    </w:p>
    <w:p>
      <w:pPr>
        <w:tabs>
          <w:tab w:val="left" w:pos="567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Змістовий модуль 1. Інтеграли</w:t>
      </w: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1. Невизначений інтеграл. Інтегрування функцій. Визначений інтеграл, застосування визначених інтегралів. Наближені методи інтегрування.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2. Подвійні, потрійні інтеграли. Застосування подвійних і потрійних інтегралів в задачах фізики і механіки.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3. Криволінійні інтеграли. Інтегрування по поверхні. Теорія поля.</w:t>
      </w:r>
    </w:p>
    <w:p>
      <w:pPr>
        <w:tabs>
          <w:tab w:val="left" w:pos="567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Змістовий модуль 2. Диференціальні рівняння.</w:t>
      </w:r>
    </w:p>
    <w:p>
      <w:pPr>
        <w:tabs>
          <w:tab w:val="left" w:pos="284"/>
          <w:tab w:val="left" w:pos="567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Тема 1. Диференціальні рівняння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>-го порядку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Лінійні диференціальні рівняння. Рівняння в повних диференціалах.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2. Диференціальні рівняння вищих порядків. Лінійні диференціальні рівняння зі сталими коефіцієнтами.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Тема 3. Системи звичайних диференціальних рівнянь. Рівняння в частинних похідних. Наближені методи розв’язання диференціальних рівнянь та систем диференціальних рівнянь.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Теми лекцій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eastAsia="Calibri" w:cs="Times New Roman"/>
          <w:b/>
          <w:sz w:val="24"/>
          <w:szCs w:val="24"/>
          <w:lang w:val="ru-RU" w:eastAsia="ru-RU"/>
        </w:rPr>
      </w:pP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 теми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 xml:space="preserve">Модуль 1.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Лінійна алгебра, аналітична геометрія, елементи математичного аналізу.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Матриці і дії над ними.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Визначники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Матричні рівняння. Системи лінійних алгебраїчних рівнянь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Правило Крамера.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Матричний метод розв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язнання лінійних рівнянь.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 Гаусса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Ітераційні методи розв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язання систем лінійних рівнянь.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Вектори і дії над ними. Базис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Скалярний, векторний, мішаний добутки векторів.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Пряма на площині.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Криві на площині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Алгебраїчні криві другого порядку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Площина в просторі.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Пряма в просторі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Змінні величини. Поняття функції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Границя послідовності. Границя функції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Розкриття невизначеностей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Порівняння нескінченно малих функцій.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Неперервність функцій. Класифікація точок розриву.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Означення похідної та правила диференціювання функцій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Застосування похідної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Дослідження функцій. Побудова графіків функцій.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Модуль 2. Інтегральне числення функції однієї змінної та звичайні диференціальні рівняння.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Безпосереднє знаходження невизначених інтегралів. Інтегрування заміною змінних та по частинах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Інтегрування раціональних і ірраціональних функцій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Інтегрування тригонометричних функцій.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Визначений інтеграл.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Застосування визначеного інтеграла при розв’язанні практичних задач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язання лінійних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диференц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альних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рівнянь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язання рівнянь в повних диференціалах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язання рівнянь вищих порядків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язання рівнянь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-го порядку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язання рівнянь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-го порядку зі сталими коефіцієнтами.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 Лагранжа. Розв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язання систем диференціальних рівнянь.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eastAsia="Calibri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Теми практичних занять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eastAsia="Calibri" w:cs="Times New Roman"/>
          <w:b/>
          <w:sz w:val="24"/>
          <w:szCs w:val="24"/>
          <w:lang w:val="ru-RU" w:eastAsia="ru-RU"/>
        </w:rPr>
      </w:pP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 теми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 w:eastAsia="ru-RU"/>
              </w:rPr>
              <w:t xml:space="preserve">Модуль 1.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Лінійна алгебра, аналітична геометрія, елементи математичного аналізу.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Повторення елементарної математики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Матриці та дії з ними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Визначник матриці, властивості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Системи лінійних рівнянь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Векторна алгебра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Пряма на площині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Площина у просторі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Пряма у просторі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Криві 2-го порядку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Поверхні, метод перерізів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Функції, графіки, неперервність функції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Послідовності, границі  послідовностей і функцій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Нескінченно малі функції, нескінченно великі функції. Визначні границі.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Похідна та диференціал функції однієї змінної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Диференціювання  складних, параметричних та неявних функцій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Диференціювання функції багатьох змінних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Дослідження функцій однієї змінної, застосування границь та похідних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9" w:type="dxa"/>
            <w:gridSpan w:val="2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ru-RU"/>
              </w:rPr>
              <w:t>Модуль 2. Інтегральне числення функції однієї змінної та звичайні диференціальні рівняння.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Безпосереднє знаходження невизначених інтегралів.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Інтегрування заміною змінних та по частинах.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Інтегрування раціональних і ірраціональних функцій.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Інтегрування тригонометричних функцій.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Застосування невизначених інтегралів при розв’язанні практичних задач.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Визначений інтеграл. Застосування визначеного інтеграла при розв’язанні практичних задач.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Невласні інтеграли 1-го роду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Невласні інтеграли 2-го роду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Застосування визначеного інтеграла для обчислення площ, довжин дуг, об’ємів.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Розвя’зання рівнянь з відокремлюваними змінними та однорідних рівнянь.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язання лінійних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 xml:space="preserve"> диференц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альних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рівнянь.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язання рівнянь в повних диференціалах.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язання рівнянь вищих порядків.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язання лінійних однорідних рівнянь 2-го порядку.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`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язання лінійних неоднорідних рівнянь 2-го порядку.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Метод Лагранжа.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язання однорідних систем диференціальних рівнянь.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Розв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язання неоднорідних систем диференціальних рівнянь.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Наближені розвязки диференціальних рівнянь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РГР</w:t>
      </w:r>
    </w:p>
    <w:tbl>
      <w:tblPr>
        <w:tblStyle w:val="3"/>
        <w:tblW w:w="0" w:type="auto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Назва теми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 xml:space="preserve">Елементи лінійної алгебри, аналітичної геометрії.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Елементи математичного аналізу.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Визначені інтеграли та їх застосування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12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  <w:lang w:eastAsia="ru-RU"/>
              </w:rPr>
              <w:t>Диференціальні рівняння 1-го, 2-го порядків та вищих порядків та їх застосування.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val="ru-RU" w:eastAsia="ru-RU"/>
        </w:rPr>
      </w:pPr>
    </w:p>
    <w:p>
      <w:pPr>
        <w:widowControl/>
        <w:autoSpaceDE/>
        <w:autoSpaceDN/>
        <w:adjustRightInd/>
        <w:ind w:left="710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Методи контролю та оцінювання знань</w:t>
      </w:r>
    </w:p>
    <w:p>
      <w:pPr>
        <w:widowControl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Загальне оцінювання здійснюється через вимірювання результатів навчання у формі п</w:t>
      </w:r>
      <w:r>
        <w:rPr>
          <w:rFonts w:ascii="Times New Roman" w:hAnsi="Times New Roman"/>
          <w:color w:val="000000"/>
          <w:sz w:val="26"/>
          <w:szCs w:val="26"/>
        </w:rPr>
        <w:t>po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м</w:t>
      </w:r>
      <w:r>
        <w:rPr>
          <w:rFonts w:ascii="Times New Roman" w:hAnsi="Times New Roman"/>
          <w:color w:val="000000"/>
          <w:sz w:val="26"/>
          <w:szCs w:val="26"/>
        </w:rPr>
        <w:t>i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жн</w:t>
      </w:r>
      <w:r>
        <w:rPr>
          <w:rFonts w:ascii="Times New Roman" w:hAnsi="Times New Roman"/>
          <w:color w:val="000000"/>
          <w:sz w:val="26"/>
          <w:szCs w:val="26"/>
        </w:rPr>
        <w:t>o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г</w:t>
      </w:r>
      <w:r>
        <w:rPr>
          <w:rFonts w:ascii="Times New Roman" w:hAnsi="Times New Roman"/>
          <w:color w:val="000000"/>
          <w:sz w:val="26"/>
          <w:szCs w:val="26"/>
        </w:rPr>
        <w:t>o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(модульного) та підсумкового контролю (залік, захист індивідуальної роботи тощо) відповідно до вимог зовнішньої та внутрішньої системи забезпечення якості вищої освіти. 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Політика щодо академічної доброчесності</w:t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Тексти індивідуальних завдань (в т.ч. у разі, коли вони виконуються у формі презентацій або в інших формах) </w:t>
      </w:r>
      <w:r>
        <w:rPr>
          <w:rFonts w:ascii="Times New Roman" w:hAnsi="Times New Roman"/>
          <w:sz w:val="26"/>
          <w:szCs w:val="26"/>
          <w:lang w:val="uk-UA"/>
        </w:rPr>
        <w:t xml:space="preserve">можуть </w:t>
      </w:r>
      <w:r>
        <w:rPr>
          <w:rFonts w:ascii="Times New Roman" w:hAnsi="Times New Roman"/>
          <w:sz w:val="26"/>
          <w:szCs w:val="26"/>
        </w:rPr>
        <w:t>перевіряют</w:t>
      </w:r>
      <w:r>
        <w:rPr>
          <w:rFonts w:ascii="Times New Roman" w:hAnsi="Times New Roman"/>
          <w:sz w:val="26"/>
          <w:szCs w:val="26"/>
          <w:lang w:val="uk-UA"/>
        </w:rPr>
        <w:t>ись</w:t>
      </w:r>
      <w:r>
        <w:rPr>
          <w:rFonts w:ascii="Times New Roman" w:hAnsi="Times New Roman"/>
          <w:sz w:val="26"/>
          <w:szCs w:val="26"/>
        </w:rPr>
        <w:t xml:space="preserve"> на плагіат.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</w:t>
      </w:r>
      <w:r>
        <w:rPr>
          <w:rFonts w:ascii="Times New Roman" w:hAnsi="Times New Roman"/>
          <w:sz w:val="26"/>
          <w:szCs w:val="26"/>
          <w:lang w:val="uk-UA"/>
        </w:rPr>
        <w:t>здобувача</w:t>
      </w:r>
      <w:r>
        <w:rPr>
          <w:rFonts w:ascii="Times New Roman" w:hAnsi="Times New Roman"/>
          <w:sz w:val="26"/>
          <w:szCs w:val="26"/>
        </w:rPr>
        <w:t xml:space="preserve"> він отримує інше завдання. У разі повторного виявлення призначається додаткове заняття для проходження тестування.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Політика щодо відвідування</w:t>
      </w:r>
    </w:p>
    <w:p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Здобувач, який пропустив аудиторне заняття з поважних причин, має продемонструвати викладачу та надати до деканату </w:t>
      </w:r>
      <w:r>
        <w:rPr>
          <w:rFonts w:ascii="Times New Roman" w:hAnsi="Times New Roman"/>
          <w:sz w:val="26"/>
          <w:szCs w:val="26"/>
          <w:lang w:val="uk-UA"/>
        </w:rPr>
        <w:t>факультету</w:t>
      </w:r>
      <w:r>
        <w:rPr>
          <w:rFonts w:ascii="Times New Roman" w:hAnsi="Times New Roman"/>
          <w:sz w:val="26"/>
          <w:szCs w:val="26"/>
        </w:rPr>
        <w:t xml:space="preserve"> документ, який засвідчує ці причини.</w:t>
      </w:r>
    </w:p>
    <w:p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об’єктивних причин (хвороба, міжнародне стажування</w:t>
      </w:r>
      <w:r>
        <w:rPr>
          <w:rFonts w:ascii="Times New Roman" w:hAnsi="Times New Roman"/>
          <w:sz w:val="26"/>
          <w:szCs w:val="26"/>
          <w:lang w:val="uk-UA"/>
        </w:rPr>
        <w:t>, наукова та науково-практична конференція (круглий стіл)</w:t>
      </w:r>
      <w:r>
        <w:rPr>
          <w:rFonts w:ascii="Times New Roman" w:hAnsi="Times New Roman"/>
          <w:sz w:val="26"/>
          <w:szCs w:val="26"/>
        </w:rPr>
        <w:t xml:space="preserve"> тощо) навчання може відбуватись в он-лайн формі за погодженням із керівником курсу.</w:t>
      </w:r>
    </w:p>
    <w:p>
      <w:pPr>
        <w:shd w:val="clear" w:color="auto" w:fill="FFFFFF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</w:rPr>
        <w:t>Методи контрол</w:t>
      </w:r>
      <w:r>
        <w:rPr>
          <w:rFonts w:ascii="Times New Roman" w:hAnsi="Times New Roman"/>
          <w:b/>
          <w:sz w:val="26"/>
          <w:szCs w:val="26"/>
          <w:lang w:val="uk-UA"/>
        </w:rPr>
        <w:t>ю</w:t>
      </w:r>
    </w:p>
    <w:p>
      <w:pPr>
        <w:pStyle w:val="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Основні форми участі Здобувачів у навчальному процесі, що підлягають поточному контролю: виступ на практичних заняттях; доповнення, </w:t>
      </w:r>
      <w:r>
        <w:rPr>
          <w:sz w:val="26"/>
          <w:szCs w:val="26"/>
          <w:lang w:val="uk-UA"/>
        </w:rPr>
        <w:t xml:space="preserve">опонування </w:t>
      </w:r>
      <w:r>
        <w:rPr>
          <w:sz w:val="26"/>
          <w:szCs w:val="26"/>
        </w:rPr>
        <w:t xml:space="preserve"> до </w:t>
      </w:r>
      <w:r>
        <w:rPr>
          <w:sz w:val="26"/>
          <w:szCs w:val="26"/>
          <w:lang w:val="uk-UA"/>
        </w:rPr>
        <w:t>виступу</w:t>
      </w:r>
      <w:r>
        <w:rPr>
          <w:sz w:val="26"/>
          <w:szCs w:val="26"/>
        </w:rPr>
        <w:t xml:space="preserve">, рецензія на виступ; участь у дискусіях; аналіз першоджерел; письмові завдання (тестові, індивідуальні роботи у формі рефератів); </w:t>
      </w:r>
      <w:r>
        <w:rPr>
          <w:sz w:val="26"/>
          <w:szCs w:val="26"/>
          <w:lang w:val="uk-UA"/>
        </w:rPr>
        <w:t>та інші</w:t>
      </w:r>
      <w:r>
        <w:rPr>
          <w:sz w:val="26"/>
          <w:szCs w:val="26"/>
        </w:rPr>
        <w:t xml:space="preserve"> письмові роботи, оформлені відповідно до вимог. Кожна тема курсу, що винесена на лекційні та практичні заняття, відпрацьовується Здобувачами у тій чи іншій формі, наведеній вище. Обов’язкова присутність на лекційних заняттях, активність впродовж семестру, відвідування/відпрацювання усіх </w:t>
      </w:r>
      <w:r>
        <w:rPr>
          <w:sz w:val="26"/>
          <w:szCs w:val="26"/>
          <w:lang w:val="uk-UA"/>
        </w:rPr>
        <w:t>аудиторних</w:t>
      </w:r>
      <w:r>
        <w:rPr>
          <w:sz w:val="26"/>
          <w:szCs w:val="26"/>
        </w:rPr>
        <w:t xml:space="preserve"> занять, виконання інших видів робіт, передбачених навчальним планом з цієї дисципліни. </w:t>
      </w:r>
    </w:p>
    <w:p>
      <w:pPr>
        <w:pStyle w:val="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оцінюванні рівня знань Здобувача аналізу підлягають: </w:t>
      </w:r>
    </w:p>
    <w:p>
      <w:pPr>
        <w:pStyle w:val="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характеристики відповіді: цілісність, повнота, логічність, обґрунтованість, правильність;  </w:t>
      </w:r>
    </w:p>
    <w:p>
      <w:pPr>
        <w:pStyle w:val="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якість знань (ступінь засвоєння фактичного матеріалу): осмисленість, глибина, гнучкість, дієвість, системність, узагальненість, міцність; </w:t>
      </w:r>
    </w:p>
    <w:p>
      <w:pPr>
        <w:pStyle w:val="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ступінь сформованості уміння поєднувати теорію і практику під час розгляду ситуацій, практичних завдань;</w:t>
      </w:r>
    </w:p>
    <w:p>
      <w:pPr>
        <w:pStyle w:val="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рівень володіння розумовими операціями: вміння аналізувати, синтезувати, порівнювати, абстрагувати, узагальнювати, робити висновки з проблем, що розглядаються;  </w:t>
      </w:r>
    </w:p>
    <w:p>
      <w:pPr>
        <w:pStyle w:val="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досвід творчої діяльності: уміння виявляти проблеми, розв’язувати їх, формувати гіпотези;  </w:t>
      </w:r>
    </w:p>
    <w:p>
      <w:pPr>
        <w:pStyle w:val="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самостійна робота: робота з навчально-методичною, науковою, допоміжною вітчизняною та зарубіжною літературою з питань, що розглядаються, уміння отримувати інформацію з різноманітних джерел (традиційних; спеціальних періодичних видань, ЗМІ, Internet тощо).  </w:t>
      </w:r>
    </w:p>
    <w:p>
      <w:pPr>
        <w:shd w:val="clear" w:color="auto" w:fill="FFFFFF"/>
        <w:ind w:right="-5" w:firstLine="709"/>
        <w:jc w:val="both"/>
        <w:rPr>
          <w:rFonts w:ascii="Times New Roman" w:hAnsi="Times New Roman"/>
          <w:spacing w:val="3"/>
          <w:sz w:val="26"/>
          <w:szCs w:val="26"/>
        </w:rPr>
      </w:pPr>
      <w:r>
        <w:rPr>
          <w:rFonts w:ascii="Times New Roman" w:hAnsi="Times New Roman"/>
          <w:b/>
          <w:spacing w:val="3"/>
          <w:sz w:val="26"/>
          <w:szCs w:val="26"/>
        </w:rPr>
        <w:t>Тестове опитування</w:t>
      </w:r>
      <w:r>
        <w:rPr>
          <w:rFonts w:ascii="Times New Roman" w:hAnsi="Times New Roman"/>
          <w:spacing w:val="3"/>
          <w:sz w:val="26"/>
          <w:szCs w:val="26"/>
        </w:rPr>
        <w:t xml:space="preserve"> може проводитись за одним або кількома змістовими модулями. В останньому випадку бали, які нараховуються Здобувачу за відповіді на тестові питання, поділяються між змістовими модулями.</w:t>
      </w:r>
    </w:p>
    <w:p>
      <w:pPr>
        <w:shd w:val="clear" w:color="auto" w:fill="FFFFFF"/>
        <w:ind w:right="-5" w:firstLine="709"/>
        <w:jc w:val="both"/>
        <w:rPr>
          <w:rFonts w:ascii="Times New Roman" w:hAnsi="Times New Roman"/>
          <w:spacing w:val="3"/>
          <w:sz w:val="26"/>
          <w:szCs w:val="26"/>
        </w:rPr>
      </w:pPr>
      <w:r>
        <w:rPr>
          <w:rFonts w:ascii="Times New Roman" w:hAnsi="Times New Roman"/>
          <w:b/>
          <w:spacing w:val="3"/>
          <w:sz w:val="26"/>
          <w:szCs w:val="26"/>
        </w:rPr>
        <w:t>Індивідуальне завдання</w:t>
      </w:r>
      <w:r>
        <w:rPr>
          <w:rFonts w:ascii="Times New Roman" w:hAnsi="Times New Roman"/>
          <w:spacing w:val="3"/>
          <w:sz w:val="26"/>
          <w:szCs w:val="26"/>
        </w:rPr>
        <w:t xml:space="preserve"> підлягає захисту Здобувачом на заняттях, які призначаються додатково.</w:t>
      </w:r>
    </w:p>
    <w:p>
      <w:pPr>
        <w:shd w:val="clear" w:color="auto" w:fill="FFFFFF"/>
        <w:ind w:right="-5"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3"/>
          <w:sz w:val="26"/>
          <w:szCs w:val="26"/>
        </w:rPr>
        <w:t xml:space="preserve">Індивідуальне завдання може бути виконане у різних формах. Зокрема, Здобувачи можуть зробити його у вигляді реферату. Реферат повинен мати </w:t>
      </w:r>
      <w:r>
        <w:rPr>
          <w:rFonts w:ascii="Times New Roman" w:hAnsi="Times New Roman"/>
          <w:spacing w:val="-1"/>
          <w:sz w:val="26"/>
          <w:szCs w:val="26"/>
        </w:rPr>
        <w:t xml:space="preserve">обсяг від 18 до 24 сторінок А4 тексту (кегль </w:t>
      </w:r>
      <w:r>
        <w:rPr>
          <w:rFonts w:ascii="Times New Roman" w:hAnsi="Times New Roman"/>
          <w:spacing w:val="-1"/>
          <w:sz w:val="26"/>
          <w:szCs w:val="26"/>
          <w:lang w:val="en-US"/>
        </w:rPr>
        <w:t>Times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en-US"/>
        </w:rPr>
        <w:t>New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/>
          <w:spacing w:val="-1"/>
          <w:sz w:val="26"/>
          <w:szCs w:val="26"/>
          <w:lang w:val="en-US"/>
        </w:rPr>
        <w:t>Roman</w:t>
      </w:r>
      <w:r>
        <w:rPr>
          <w:rFonts w:ascii="Times New Roman" w:hAnsi="Times New Roman"/>
          <w:spacing w:val="-1"/>
          <w:sz w:val="26"/>
          <w:szCs w:val="26"/>
        </w:rPr>
        <w:t xml:space="preserve">, шрифт 14, інтервал 1,5), включати </w:t>
      </w:r>
      <w:r>
        <w:rPr>
          <w:rFonts w:ascii="Times New Roman" w:hAnsi="Times New Roman"/>
          <w:spacing w:val="3"/>
          <w:sz w:val="26"/>
          <w:szCs w:val="26"/>
        </w:rPr>
        <w:t xml:space="preserve">план, структуру основної частини тексту відповідно до плану, висновки і список </w:t>
      </w:r>
      <w:r>
        <w:rPr>
          <w:rFonts w:ascii="Times New Roman" w:hAnsi="Times New Roman"/>
          <w:spacing w:val="2"/>
          <w:sz w:val="26"/>
          <w:szCs w:val="26"/>
        </w:rPr>
        <w:t xml:space="preserve">літератури, складений відповідно до ДСТУ 8302:2015. В рефераті можна також помістити словник базових понять до теми. </w:t>
      </w:r>
      <w:r>
        <w:rPr>
          <w:rFonts w:ascii="Times New Roman" w:hAnsi="Times New Roman"/>
          <w:spacing w:val="-4"/>
          <w:sz w:val="26"/>
          <w:szCs w:val="26"/>
        </w:rPr>
        <w:t xml:space="preserve">Водночас індивідуальне завдання може бути виконане в інших формах, наприклад, у вигляді </w:t>
      </w:r>
      <w:r>
        <w:rPr>
          <w:rFonts w:ascii="Times New Roman" w:hAnsi="Times New Roman"/>
          <w:spacing w:val="-4"/>
          <w:sz w:val="26"/>
          <w:szCs w:val="26"/>
          <w:lang w:val="uk-UA"/>
        </w:rPr>
        <w:t xml:space="preserve">дидактичного проєкту, у формі </w:t>
      </w:r>
      <w:r>
        <w:rPr>
          <w:rFonts w:ascii="Times New Roman" w:hAnsi="Times New Roman"/>
          <w:spacing w:val="-4"/>
          <w:sz w:val="26"/>
          <w:szCs w:val="26"/>
        </w:rPr>
        <w:t xml:space="preserve">презентації у форматі </w:t>
      </w:r>
      <w:r>
        <w:rPr>
          <w:rFonts w:ascii="Times New Roman" w:hAnsi="Times New Roman"/>
          <w:spacing w:val="-4"/>
          <w:sz w:val="26"/>
          <w:szCs w:val="26"/>
          <w:lang w:val="en-US"/>
        </w:rPr>
        <w:t>Power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/>
          <w:spacing w:val="-4"/>
          <w:sz w:val="26"/>
          <w:szCs w:val="26"/>
          <w:lang w:val="en-US"/>
        </w:rPr>
        <w:t>Point</w:t>
      </w:r>
      <w:r>
        <w:rPr>
          <w:rFonts w:ascii="Times New Roman" w:hAnsi="Times New Roman"/>
          <w:spacing w:val="-4"/>
          <w:sz w:val="26"/>
          <w:szCs w:val="26"/>
        </w:rPr>
        <w:t>. В цьому разі обсяг роботи визначається індивідуально – залежно від теми.</w:t>
      </w:r>
    </w:p>
    <w:p>
      <w:pPr>
        <w:shd w:val="clear" w:color="auto" w:fill="FFFFFF"/>
        <w:tabs>
          <w:tab w:val="left" w:pos="154"/>
        </w:tabs>
        <w:ind w:right="-2" w:firstLine="709"/>
        <w:jc w:val="both"/>
        <w:rPr>
          <w:rFonts w:ascii="Times New Roman" w:hAnsi="Times New Roman"/>
          <w:bCs/>
          <w:spacing w:val="-1"/>
          <w:sz w:val="26"/>
          <w:szCs w:val="26"/>
        </w:rPr>
      </w:pPr>
      <w:r>
        <w:rPr>
          <w:rFonts w:ascii="Times New Roman" w:hAnsi="Times New Roman"/>
          <w:bCs/>
          <w:spacing w:val="-1"/>
          <w:sz w:val="26"/>
          <w:szCs w:val="26"/>
        </w:rPr>
        <w:t xml:space="preserve">Література, що рекомендується для виконання індивідуального завдання, наведена у </w:t>
      </w:r>
      <w:r>
        <w:rPr>
          <w:rFonts w:ascii="Times New Roman" w:hAnsi="Times New Roman"/>
          <w:bCs/>
          <w:spacing w:val="-1"/>
          <w:sz w:val="26"/>
          <w:szCs w:val="26"/>
          <w:lang w:val="uk-UA"/>
        </w:rPr>
        <w:t>цій робочій програмі</w:t>
      </w:r>
      <w:r>
        <w:rPr>
          <w:rFonts w:ascii="Times New Roman" w:hAnsi="Times New Roman"/>
          <w:bCs/>
          <w:spacing w:val="-1"/>
          <w:sz w:val="26"/>
          <w:szCs w:val="26"/>
        </w:rPr>
        <w:t>, а в електронному вигляді вона розміщена на Освітньому сайті КНУБА, на сторінці кафедри.</w:t>
      </w:r>
    </w:p>
    <w:p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Cs/>
          <w:spacing w:val="-1"/>
          <w:sz w:val="26"/>
          <w:szCs w:val="26"/>
        </w:rPr>
      </w:pPr>
      <w:r>
        <w:rPr>
          <w:rFonts w:ascii="Times New Roman" w:hAnsi="Times New Roman"/>
          <w:bCs/>
          <w:spacing w:val="-1"/>
          <w:sz w:val="26"/>
          <w:szCs w:val="26"/>
        </w:rPr>
        <w:t>Також як виконання індивідуального завдання за рішенням викладача може бути зарахована участь Здобувача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</w:r>
    </w:p>
    <w:p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bCs/>
          <w:spacing w:val="-1"/>
          <w:sz w:val="26"/>
          <w:szCs w:val="26"/>
        </w:rPr>
      </w:pPr>
      <w:r>
        <w:rPr>
          <w:rFonts w:ascii="Times New Roman" w:hAnsi="Times New Roman"/>
          <w:bCs/>
          <w:spacing w:val="-1"/>
          <w:sz w:val="26"/>
          <w:szCs w:val="26"/>
        </w:rPr>
        <w:t xml:space="preserve">Текст індивідуального завдання подається викладачу не пізніше, ніж за </w:t>
      </w:r>
      <w:r>
        <w:rPr>
          <w:rFonts w:ascii="Times New Roman" w:hAnsi="Times New Roman"/>
          <w:bCs/>
          <w:spacing w:val="-1"/>
          <w:sz w:val="26"/>
          <w:szCs w:val="26"/>
          <w:lang w:val="uk-UA"/>
        </w:rPr>
        <w:t>2 тижні</w:t>
      </w:r>
      <w:r>
        <w:rPr>
          <w:rFonts w:ascii="Times New Roman" w:hAnsi="Times New Roman"/>
          <w:bCs/>
          <w:spacing w:val="-1"/>
          <w:sz w:val="26"/>
          <w:szCs w:val="26"/>
        </w:rPr>
        <w:t xml:space="preserve"> до початку залікової сесії. Викладач має право вимагати від </w:t>
      </w:r>
      <w:r>
        <w:rPr>
          <w:rFonts w:ascii="Times New Roman" w:hAnsi="Times New Roman"/>
          <w:bCs/>
          <w:spacing w:val="-1"/>
          <w:sz w:val="26"/>
          <w:szCs w:val="26"/>
          <w:lang w:val="uk-UA"/>
        </w:rPr>
        <w:t>Здобувача</w:t>
      </w:r>
      <w:r>
        <w:rPr>
          <w:rFonts w:ascii="Times New Roman" w:hAnsi="Times New Roman"/>
          <w:bCs/>
          <w:spacing w:val="-1"/>
          <w:sz w:val="26"/>
          <w:szCs w:val="26"/>
        </w:rPr>
        <w:t xml:space="preserve"> доопрацювання індивідуального завдання, якщо воно не відповідає встановленим вимогам.</w:t>
      </w:r>
    </w:p>
    <w:p>
      <w:pPr>
        <w:pStyle w:val="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Результати поточного контролю заносяться до журналу обліку роботи. Позитивна оцінка поточної успішності Здобувачів за відсутності пропущених та невідпрацьованих </w:t>
      </w:r>
      <w:r>
        <w:rPr>
          <w:sz w:val="26"/>
          <w:szCs w:val="26"/>
          <w:lang w:val="uk-UA"/>
        </w:rPr>
        <w:t>практичних</w:t>
      </w:r>
      <w:r>
        <w:rPr>
          <w:sz w:val="26"/>
          <w:szCs w:val="26"/>
        </w:rPr>
        <w:t xml:space="preserve"> занять та позитивні оцінки за індивідуальну роботу є підставою</w:t>
      </w:r>
      <w:r>
        <w:rPr>
          <w:sz w:val="26"/>
          <w:szCs w:val="26"/>
          <w:lang w:val="uk-UA"/>
        </w:rPr>
        <w:t xml:space="preserve"> для допуску</w:t>
      </w:r>
      <w:r>
        <w:rPr>
          <w:sz w:val="26"/>
          <w:szCs w:val="26"/>
        </w:rPr>
        <w:t xml:space="preserve"> до підсумкової форми контролю. Бали за аудиторну роботу відпрацьовуються у разі пропусків. </w:t>
      </w:r>
    </w:p>
    <w:p>
      <w:pPr>
        <w:suppressAutoHyphens/>
        <w:overflowPunct w:val="0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>Підсумковий контроль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здійснюється під час проведення залікової сесії з урахуванням підсумків поточного та модульного контроля. </w:t>
      </w:r>
      <w:r>
        <w:rPr>
          <w:rFonts w:ascii="Times New Roman" w:hAnsi="Times New Roman"/>
          <w:sz w:val="26"/>
          <w:szCs w:val="26"/>
        </w:rPr>
        <w:t xml:space="preserve">Під час семестрового контролю враховуються результати здачі усіх видів навчальної роботи згідно зі структурою кредитів. </w:t>
      </w:r>
    </w:p>
    <w:p>
      <w:pPr>
        <w:pStyle w:val="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Оцінювання проводиться за 100-бальною шкалою.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ind w:left="360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Розподіл балів для дисципліни з формою контролю залік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Calibri" w:cs="Times New Roman"/>
          <w:i/>
          <w:sz w:val="24"/>
          <w:szCs w:val="24"/>
          <w:lang w:eastAsia="ru-RU"/>
        </w:rPr>
      </w:pPr>
    </w:p>
    <w:tbl>
      <w:tblPr>
        <w:tblStyle w:val="3"/>
        <w:tblW w:w="9319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536"/>
        <w:gridCol w:w="1262"/>
        <w:gridCol w:w="7"/>
        <w:gridCol w:w="2718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5" w:type="dxa"/>
            <w:gridSpan w:val="5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Поточне оцінювання та самостійна робота</w:t>
            </w:r>
          </w:p>
        </w:tc>
        <w:tc>
          <w:tcPr>
            <w:tcW w:w="2718" w:type="dxa"/>
            <w:tcBorders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700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№ 1</w:t>
            </w:r>
          </w:p>
        </w:tc>
        <w:tc>
          <w:tcPr>
            <w:tcW w:w="2798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модуль № 2</w:t>
            </w:r>
          </w:p>
        </w:tc>
        <w:tc>
          <w:tcPr>
            <w:tcW w:w="272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Підсумковий тест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  <w:t>залік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6" w:type="dxa"/>
            <w:vMerge w:val="continue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теор. частина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Інд. завд.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15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теор. частина</w:t>
            </w:r>
          </w:p>
        </w:tc>
        <w:tc>
          <w:tcPr>
            <w:tcW w:w="12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Інд. завд.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РГР</w:t>
            </w:r>
          </w:p>
        </w:tc>
        <w:tc>
          <w:tcPr>
            <w:tcW w:w="2725" w:type="dxa"/>
            <w:gridSpan w:val="2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 w:val="continue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2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25" w:type="dxa"/>
            <w:gridSpan w:val="2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6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>
      <w:pPr>
        <w:ind w:firstLine="709"/>
        <w:jc w:val="center"/>
        <w:rPr>
          <w:rFonts w:ascii="Times New Roman" w:hAnsi="Times New Roman"/>
          <w:b/>
          <w:bCs/>
        </w:rPr>
      </w:pPr>
    </w:p>
    <w:p>
      <w:pPr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Шкала оцінювання: національна та ECTS</w:t>
      </w:r>
    </w:p>
    <w:tbl>
      <w:tblPr>
        <w:tblStyle w:val="3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2683"/>
        <w:gridCol w:w="326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Сума балів за всі види навчальної діяльності</w:t>
            </w:r>
          </w:p>
        </w:tc>
        <w:tc>
          <w:tcPr>
            <w:tcW w:w="268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Оцінка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ECTS</w:t>
            </w:r>
          </w:p>
        </w:tc>
        <w:tc>
          <w:tcPr>
            <w:tcW w:w="3287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Оцінка за національною шкалою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90 – 100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3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Зараховано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82-89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32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74-81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64-73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jc w:val="center"/>
        </w:trPr>
        <w:tc>
          <w:tcPr>
            <w:tcW w:w="3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60-63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32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35-59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FX</w:t>
            </w:r>
          </w:p>
        </w:tc>
        <w:tc>
          <w:tcPr>
            <w:tcW w:w="3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зараховано з можливістю повторного складання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0-34</w:t>
            </w:r>
          </w:p>
        </w:tc>
        <w:tc>
          <w:tcPr>
            <w:tcW w:w="26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</w:t>
            </w:r>
          </w:p>
        </w:tc>
        <w:tc>
          <w:tcPr>
            <w:tcW w:w="3287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зараховано з обов’язковим повторним вивченням дисципліни</w:t>
            </w:r>
          </w:p>
        </w:tc>
      </w:tr>
    </w:tbl>
    <w:p>
      <w:pPr>
        <w:ind w:firstLine="709"/>
        <w:jc w:val="center"/>
        <w:rPr>
          <w:rFonts w:ascii="Times New Roman" w:hAnsi="Times New Roman"/>
          <w:b/>
          <w:bCs/>
        </w:rPr>
      </w:pPr>
    </w:p>
    <w:p>
      <w:pPr>
        <w:tabs>
          <w:tab w:val="left" w:pos="284"/>
          <w:tab w:val="left" w:pos="567"/>
        </w:tabs>
        <w:ind w:left="720" w:hanging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Умови допуску до підсумкового контроля</w:t>
      </w:r>
    </w:p>
    <w:p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Здобувачу, який має підсумкову оцінку за дисципліну від 35 до 59 балів, призначається додаткова залікова сесія. В цьому разі він повинен виконати додаткові завдання, визначені викладачем.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Здобувач, який не виконав вимог робочо</w:t>
      </w:r>
      <w:r>
        <w:rPr>
          <w:rFonts w:ascii="Times New Roman" w:hAnsi="Times New Roman"/>
          <w:lang w:val="uk-UA"/>
        </w:rPr>
        <w:t>ї програми по</w:t>
      </w:r>
      <w:r>
        <w:rPr>
          <w:rFonts w:ascii="Times New Roman" w:hAnsi="Times New Roman"/>
        </w:rPr>
        <w:t xml:space="preserve"> змістових модулях,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</w:rPr>
        <w:t xml:space="preserve">не допускається до складання </w:t>
      </w:r>
      <w:r>
        <w:rPr>
          <w:rFonts w:ascii="Times New Roman" w:hAnsi="Times New Roman"/>
          <w:lang w:val="uk-UA"/>
        </w:rPr>
        <w:t>підсумкового контролю</w:t>
      </w:r>
      <w:r>
        <w:rPr>
          <w:rFonts w:ascii="Times New Roman" w:hAnsi="Times New Roman"/>
        </w:rPr>
        <w:t>.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сесіями.</w:t>
      </w:r>
    </w:p>
    <w:p>
      <w:pPr>
        <w:shd w:val="clear" w:color="auto" w:fill="FFFFFF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Здобувач має право на опротестування результатів контроля (апеляцію). Правила подання та розгляду апеляції визначені внутрішніми документами КНУБА, які розміщені на сайті КНУБА та зміст яких доводиться </w:t>
      </w:r>
      <w:r>
        <w:rPr>
          <w:rFonts w:ascii="Times New Roman" w:hAnsi="Times New Roman"/>
          <w:lang w:val="uk-UA"/>
        </w:rPr>
        <w:t>Здобувачам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до</w:t>
      </w:r>
      <w:r>
        <w:rPr>
          <w:rFonts w:ascii="Times New Roman" w:hAnsi="Times New Roman"/>
        </w:rPr>
        <w:t xml:space="preserve"> початку вивчення дисципліни.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 Методичне забезпечення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uk-UA" w:eastAsia="ru-RU"/>
        </w:rPr>
        <w:t xml:space="preserve"> освітньої компоненти</w:t>
      </w:r>
    </w:p>
    <w:p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uk-UA" w:eastAsia="ru-RU"/>
        </w:rPr>
      </w:pPr>
    </w:p>
    <w:p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>
        <w:rPr>
          <w:rFonts w:ascii="Times New Roman" w:hAnsi="Times New Roman"/>
          <w:b/>
          <w:bCs/>
          <w:spacing w:val="-6"/>
          <w:lang w:val="uk-UA"/>
        </w:rPr>
        <w:t>Підручники:</w:t>
      </w:r>
    </w:p>
    <w:p>
      <w:pPr>
        <w:pStyle w:val="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658" w:leftChars="200" w:right="204" w:hanging="218" w:hangingChars="9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Вища математика: Підручник для студ. вищ. техн. навч. закл.: У 2-х част. Ч.1 / П.П. Овчинников та ін. – Київ: Техніка, 2007. – 598 с. – 325 прим.</w:t>
      </w:r>
    </w:p>
    <w:p>
      <w:pPr>
        <w:pStyle w:val="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658" w:leftChars="200" w:right="204" w:hanging="218" w:hangingChars="91"/>
        <w:jc w:val="distribute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Вища математика: Підручник для студ. вищ. техн. навч. закл.: У 2-х част. Ч.2 / П.П. Овчинников та ін. – Київ: Техніка, 2004. – 791 с. – 167 прим.</w:t>
      </w:r>
    </w:p>
    <w:p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>
        <w:rPr>
          <w:rFonts w:ascii="Times New Roman" w:hAnsi="Times New Roman"/>
          <w:b/>
          <w:bCs/>
          <w:spacing w:val="-6"/>
          <w:lang w:val="uk-UA"/>
        </w:rPr>
        <w:t>Навчальні посібники:</w:t>
      </w:r>
    </w:p>
    <w:p>
      <w:pPr>
        <w:pStyle w:val="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709" w:right="204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Вища математика в прикладах і задачах: Навчальний посібник/ Л.І. Турчанінова, О.В. Доля. –  Київ: Ліра - К- 2021. – 348 с. - 150 прим.</w:t>
      </w:r>
    </w:p>
    <w:p>
      <w:pPr>
        <w:pStyle w:val="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709" w:right="204"/>
        <w:jc w:val="both"/>
        <w:rPr>
          <w:rFonts w:ascii="Times New Roman" w:hAnsi="Times New Roman" w:eastAsia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Вища математика: Навч. посібник.- В.П. Дубовик, І.І. Юрик. – К.: А.С.К., 2004. – 648 с.</w:t>
      </w:r>
    </w:p>
    <w:p>
      <w:pPr>
        <w:pStyle w:val="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709" w:right="20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/>
          <w:sz w:val="24"/>
          <w:szCs w:val="24"/>
          <w:lang w:eastAsia="zh-CN"/>
        </w:rPr>
        <w:t>Вища математика. Збірник задач: Навч. посібник / В.П. Дубовик та ін. – К. А.С.К., -2003. – 480с.</w:t>
      </w:r>
    </w:p>
    <w:p>
      <w:pPr>
        <w:pStyle w:val="7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709" w:right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Практикум з вищої математики: Навчальний посібник. – Видання друге, доповнене і перероблене. / Л.І. Турчанінова, О.В. Доля. – КНУБА. – Київ: Кондор,- 2010. – 246 с. - 50 прим.</w:t>
      </w:r>
    </w:p>
    <w:p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>
      <w:pPr>
        <w:shd w:val="clear" w:color="auto" w:fill="FFFFFF"/>
        <w:rPr>
          <w:rFonts w:ascii="Times New Roman" w:hAnsi="Times New Roman"/>
          <w:b/>
          <w:bCs/>
          <w:spacing w:val="-6"/>
          <w:lang w:val="uk-UA"/>
        </w:rPr>
      </w:pPr>
    </w:p>
    <w:p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>
        <w:rPr>
          <w:rFonts w:ascii="Times New Roman" w:hAnsi="Times New Roman"/>
          <w:b/>
          <w:bCs/>
          <w:spacing w:val="-6"/>
          <w:lang w:val="uk-UA"/>
        </w:rPr>
        <w:t>Методичні роботи: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709" w:leftChars="0" w:hanging="36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Вища математика: Методичні вказівки до виконання індивідуальних завдань. / Н.Д. Федоренко, С.В. Білощицька, О.В. Доля. – К.: КНУБА, –2018. -92 с. – ел. друк.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709" w:leftChars="0" w:hanging="36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О.В. Шутовський, Ю.П. Філонов, О.В. Горда, С.В. Білощицька. Математична статистика. Методичні вказівки. 2014 р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709" w:leftChars="0" w:hanging="360" w:firstLineChars="0"/>
        <w:jc w:val="both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Н.І. Полтораченко, О.Г. Мартинюк Методичні вказівки та завдання для самостійної роботи «Вища математика. Диференціальні рівняння» - К.: КНУБА, 2005.-32 с.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709" w:leftChars="0" w:hanging="360" w:firstLineChars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Н.І. Полтораченко, О.Г. Мартинюк Методичні вказівки та завдання для самостійної роботи «Вища математика. Лінійна алгебра та аналітична геометрія» - К.: КНУБА, 2003.-32 с.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709" w:leftChars="0" w:hanging="360" w:firstLineChars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 xml:space="preserve">Н.І. Полтораченко, О.Г. Мартинюк Методичні вказівки та завдання для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самостійної роботи «Вища математика. Інтегральне числення функції однієї змінної</w:t>
      </w:r>
      <w:r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  <w:t>» - К.: КНУБА, 2006. -40 с.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709" w:leftChars="0" w:hanging="360" w:firstLineChars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Вища математика. Ряди: Методичні вказівки до виконання індивідуальних завдань. / Н.Д. Федоренко, О.В. Доля та ін. – К.: КНУБА, 2008. – 36 с. – 38 прим.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709" w:leftChars="0" w:hanging="360" w:firstLineChars="0"/>
        <w:jc w:val="both"/>
        <w:rPr>
          <w:rFonts w:ascii="Times New Roman" w:hAnsi="Times New Roman"/>
          <w:b/>
          <w:bCs/>
          <w:spacing w:val="-6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Вища математика. Звичайні диференціальні рівняння: Методичні вказівки до виконання індивідуальних завдань. / В.М. Міхайленко та ін. – Київ: КНУБА, 2007. – 68 с. – 58 прим.</w:t>
      </w:r>
    </w:p>
    <w:p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</w:p>
    <w:p>
      <w:pPr>
        <w:shd w:val="clear" w:color="auto" w:fill="FFFFFF"/>
        <w:ind w:firstLine="426"/>
        <w:rPr>
          <w:rFonts w:ascii="Times New Roman" w:hAnsi="Times New Roman"/>
          <w:b/>
          <w:bCs/>
          <w:spacing w:val="-6"/>
          <w:lang w:val="uk-UA"/>
        </w:rPr>
      </w:pPr>
      <w:r>
        <w:rPr>
          <w:rFonts w:ascii="Times New Roman" w:hAnsi="Times New Roman"/>
          <w:b/>
          <w:bCs/>
          <w:spacing w:val="-6"/>
          <w:lang w:val="uk-UA"/>
        </w:rPr>
        <w:t>Інформаційні ресурси:</w:t>
      </w:r>
      <w:bookmarkStart w:id="0" w:name="_Hlk76048016"/>
    </w:p>
    <w:p>
      <w:pPr>
        <w:numPr>
          <w:ilvl w:val="0"/>
          <w:numId w:val="3"/>
        </w:numPr>
        <w:shd w:val="clear" w:color="auto" w:fill="FFFFFF"/>
        <w:ind w:firstLine="426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"http://library.knuba.edu.ua/"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http://library.knuba.edu.ua/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>
      <w:pPr>
        <w:numPr>
          <w:ilvl w:val="0"/>
          <w:numId w:val="3"/>
        </w:numPr>
        <w:shd w:val="clear" w:color="auto" w:fill="FFFFFF"/>
        <w:ind w:left="0" w:leftChars="0" w:firstLine="426" w:firstLineChars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"http://repositary.knuba.edu.ua/"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http://repositary.knuba.edu.ua/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</w:p>
    <w:p>
      <w:pPr>
        <w:numPr>
          <w:ilvl w:val="0"/>
          <w:numId w:val="3"/>
        </w:numPr>
        <w:shd w:val="clear" w:color="auto" w:fill="FFFFFF"/>
        <w:ind w:left="0" w:leftChars="0" w:firstLine="426" w:firstLineChars="0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"http://org2.knuba.edu.ua/course/view.php?id=2919"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</w:rPr>
        <w:t>http://org2.knuba.edu.ua/course/view.php?id=2919</w:t>
      </w:r>
      <w:r>
        <w:rPr>
          <w:rStyle w:val="4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>
        <w:rPr>
          <w:rFonts w:ascii="Times New Roman" w:hAnsi="Times New Roman" w:eastAsia="Calibri" w:cs="Times New Roman"/>
          <w:color w:val="000000"/>
          <w:spacing w:val="-13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Calibri" w:cs="Times New Roman"/>
          <w:color w:val="000000"/>
          <w:spacing w:val="-13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bookmarkEnd w:id="0"/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701" w:bottom="1134" w:left="850" w:header="708" w:footer="708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4FFD2A"/>
    <w:multiLevelType w:val="singleLevel"/>
    <w:tmpl w:val="B94FFD2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6440F14"/>
    <w:multiLevelType w:val="multilevel"/>
    <w:tmpl w:val="06440F14"/>
    <w:lvl w:ilvl="0" w:tentative="0">
      <w:start w:val="1"/>
      <w:numFmt w:val="decimal"/>
      <w:lvlText w:val="%1."/>
      <w:lvlJc w:val="left"/>
      <w:pPr>
        <w:ind w:left="1423" w:hanging="360"/>
      </w:pPr>
    </w:lvl>
    <w:lvl w:ilvl="1" w:tentative="0">
      <w:start w:val="1"/>
      <w:numFmt w:val="lowerLetter"/>
      <w:lvlText w:val="%2."/>
      <w:lvlJc w:val="left"/>
      <w:pPr>
        <w:ind w:left="2143" w:hanging="360"/>
      </w:pPr>
    </w:lvl>
    <w:lvl w:ilvl="2" w:tentative="0">
      <w:start w:val="1"/>
      <w:numFmt w:val="lowerRoman"/>
      <w:lvlText w:val="%3."/>
      <w:lvlJc w:val="right"/>
      <w:pPr>
        <w:ind w:left="2863" w:hanging="180"/>
      </w:pPr>
    </w:lvl>
    <w:lvl w:ilvl="3" w:tentative="0">
      <w:start w:val="1"/>
      <w:numFmt w:val="decimal"/>
      <w:lvlText w:val="%4."/>
      <w:lvlJc w:val="left"/>
      <w:pPr>
        <w:ind w:left="3583" w:hanging="360"/>
      </w:pPr>
    </w:lvl>
    <w:lvl w:ilvl="4" w:tentative="0">
      <w:start w:val="1"/>
      <w:numFmt w:val="lowerLetter"/>
      <w:lvlText w:val="%5."/>
      <w:lvlJc w:val="left"/>
      <w:pPr>
        <w:ind w:left="4303" w:hanging="360"/>
      </w:pPr>
    </w:lvl>
    <w:lvl w:ilvl="5" w:tentative="0">
      <w:start w:val="1"/>
      <w:numFmt w:val="lowerRoman"/>
      <w:lvlText w:val="%6."/>
      <w:lvlJc w:val="right"/>
      <w:pPr>
        <w:ind w:left="5023" w:hanging="180"/>
      </w:pPr>
    </w:lvl>
    <w:lvl w:ilvl="6" w:tentative="0">
      <w:start w:val="1"/>
      <w:numFmt w:val="decimal"/>
      <w:lvlText w:val="%7."/>
      <w:lvlJc w:val="left"/>
      <w:pPr>
        <w:ind w:left="5743" w:hanging="360"/>
      </w:pPr>
    </w:lvl>
    <w:lvl w:ilvl="7" w:tentative="0">
      <w:start w:val="1"/>
      <w:numFmt w:val="lowerLetter"/>
      <w:lvlText w:val="%8."/>
      <w:lvlJc w:val="left"/>
      <w:pPr>
        <w:ind w:left="6463" w:hanging="360"/>
      </w:pPr>
    </w:lvl>
    <w:lvl w:ilvl="8" w:tentative="0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24452F51"/>
    <w:multiLevelType w:val="multilevel"/>
    <w:tmpl w:val="24452F51"/>
    <w:lvl w:ilvl="0" w:tentative="0">
      <w:start w:val="1"/>
      <w:numFmt w:val="bullet"/>
      <w:lvlText w:val=""/>
      <w:lvlJc w:val="left"/>
      <w:pPr>
        <w:tabs>
          <w:tab w:val="left" w:pos="357"/>
        </w:tabs>
        <w:ind w:left="6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740"/>
        </w:tabs>
        <w:ind w:left="17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60"/>
        </w:tabs>
        <w:ind w:left="24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80"/>
        </w:tabs>
        <w:ind w:left="31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00"/>
        </w:tabs>
        <w:ind w:left="39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20"/>
        </w:tabs>
        <w:ind w:left="46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40"/>
        </w:tabs>
        <w:ind w:left="53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60"/>
        </w:tabs>
        <w:ind w:left="60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80"/>
        </w:tabs>
        <w:ind w:left="67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78"/>
    <w:rsid w:val="000A2999"/>
    <w:rsid w:val="000E41CE"/>
    <w:rsid w:val="000F1044"/>
    <w:rsid w:val="00190464"/>
    <w:rsid w:val="003D6E49"/>
    <w:rsid w:val="00522A94"/>
    <w:rsid w:val="005244A7"/>
    <w:rsid w:val="006728B4"/>
    <w:rsid w:val="006A4E73"/>
    <w:rsid w:val="006A4EB0"/>
    <w:rsid w:val="007B5BDE"/>
    <w:rsid w:val="007D6708"/>
    <w:rsid w:val="0081069B"/>
    <w:rsid w:val="00872123"/>
    <w:rsid w:val="008B232E"/>
    <w:rsid w:val="008B7206"/>
    <w:rsid w:val="00953FDB"/>
    <w:rsid w:val="00AA1878"/>
    <w:rsid w:val="00BE1277"/>
    <w:rsid w:val="00C336E7"/>
    <w:rsid w:val="00C435D6"/>
    <w:rsid w:val="00C4385C"/>
    <w:rsid w:val="00CD43E8"/>
    <w:rsid w:val="00DF00E3"/>
    <w:rsid w:val="00E07173"/>
    <w:rsid w:val="00E23C31"/>
    <w:rsid w:val="00F1234F"/>
    <w:rsid w:val="0BEC7FF0"/>
    <w:rsid w:val="16AA6A49"/>
    <w:rsid w:val="1AC75F10"/>
    <w:rsid w:val="1D0A51B3"/>
    <w:rsid w:val="23227DD6"/>
    <w:rsid w:val="2E265C1A"/>
    <w:rsid w:val="2E7531AE"/>
    <w:rsid w:val="322F16BE"/>
    <w:rsid w:val="34A9260D"/>
    <w:rsid w:val="34F33406"/>
    <w:rsid w:val="352502B5"/>
    <w:rsid w:val="36354268"/>
    <w:rsid w:val="4B004B30"/>
    <w:rsid w:val="533A6FDF"/>
    <w:rsid w:val="5D3306F0"/>
    <w:rsid w:val="62273198"/>
    <w:rsid w:val="78701B64"/>
    <w:rsid w:val="79042718"/>
    <w:rsid w:val="79BA1BA9"/>
    <w:rsid w:val="7B5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paragraph" w:styleId="5">
    <w:name w:val="footer"/>
    <w:basedOn w:val="1"/>
    <w:link w:val="6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character" w:customStyle="1" w:styleId="6">
    <w:name w:val="Ниж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paragraph" w:styleId="7">
    <w:name w:val="List Paragraph"/>
    <w:basedOn w:val="1"/>
    <w:qFormat/>
    <w:uiPriority w:val="34"/>
    <w:pPr>
      <w:suppressAutoHyphens/>
      <w:ind w:left="720"/>
    </w:pPr>
    <w:rPr>
      <w:rFonts w:ascii="Calibri" w:hAnsi="Calibri" w:cs="Calibri"/>
      <w:lang w:val="ru-RU" w:eastAsia="ar-SA"/>
    </w:rPr>
  </w:style>
  <w:style w:type="paragraph" w:customStyle="1" w:styleId="8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7</Pages>
  <Words>1841</Words>
  <Characters>10498</Characters>
  <Lines>87</Lines>
  <Paragraphs>24</Paragraphs>
  <TotalTime>1</TotalTime>
  <ScaleCrop>false</ScaleCrop>
  <LinksUpToDate>false</LinksUpToDate>
  <CharactersWithSpaces>12315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2023-03-25T14:50:00Z</dcterms:created>
  <dc:creator>OSh</dc:creator>
  <cp:lastModifiedBy>user</cp:lastModifiedBy>
  <dcterms:modified xsi:type="dcterms:W3CDTF">2024-02-06T14:25:38Z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192F697B753E4E269D1FD42BA7847580</vt:lpwstr>
  </property>
</Properties>
</file>