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0D" w:rsidRPr="00DE7C59" w:rsidRDefault="00741E0D" w:rsidP="00741E0D">
      <w:pPr>
        <w:spacing w:line="288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ІНДИВІДУАЛЬНІ ЗАВДАННЯ</w:t>
      </w:r>
    </w:p>
    <w:p w:rsidR="00741E0D" w:rsidRPr="00741E0D" w:rsidRDefault="00741E0D" w:rsidP="00741E0D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52292267"/>
      <w:r w:rsidRPr="00741E0D">
        <w:rPr>
          <w:rFonts w:ascii="Times New Roman" w:hAnsi="Times New Roman"/>
          <w:b/>
          <w:bCs/>
          <w:sz w:val="24"/>
          <w:szCs w:val="24"/>
        </w:rPr>
        <w:t>МЕТОДИЧНІ РЕКОМЕНДАЦІЇ ЩОДО ПІДГОТОВКИ ІНДИВІДУАЛЬНИХ ЗАВДАН</w:t>
      </w:r>
      <w:bookmarkEnd w:id="0"/>
      <w:r w:rsidRPr="00741E0D">
        <w:rPr>
          <w:rFonts w:ascii="Times New Roman" w:hAnsi="Times New Roman"/>
          <w:b/>
          <w:bCs/>
          <w:sz w:val="24"/>
          <w:szCs w:val="24"/>
        </w:rPr>
        <w:t>Ь</w:t>
      </w:r>
    </w:p>
    <w:p w:rsidR="00741E0D" w:rsidRPr="00741E0D" w:rsidRDefault="00741E0D" w:rsidP="00741E0D">
      <w:pPr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sz w:val="24"/>
          <w:szCs w:val="24"/>
        </w:rPr>
        <w:t xml:space="preserve">Індивідуальна письмова робота або есе передбачає написання здобувачем невеликий за обсягом твір-міркування з вільною композицією. Метою написання есе є вираження здобувачем власних думок з конкретної теми, викладення своєї точки зору та суб’єктивної оцінки. Есе дає можливість творчо і оригінально викласти матеріал. 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1E0D" w:rsidRPr="00741E0D" w:rsidRDefault="00741E0D" w:rsidP="00741E0D">
      <w:pPr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Рекомендації щодо написання есе</w:t>
      </w:r>
    </w:p>
    <w:p w:rsidR="00741E0D" w:rsidRPr="00741E0D" w:rsidRDefault="00741E0D" w:rsidP="00741E0D">
      <w:pPr>
        <w:pStyle w:val="ListParagraph"/>
        <w:numPr>
          <w:ilvl w:val="0"/>
          <w:numId w:val="2"/>
        </w:numPr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/>
        </w:rPr>
      </w:pPr>
      <w:r w:rsidRPr="00741E0D">
        <w:rPr>
          <w:rFonts w:ascii="Times New Roman" w:hAnsi="Times New Roman"/>
        </w:rPr>
        <w:t>Есе, як і будь-який твір, варто розпочинати зі вступу, де розкривається підхід до теми. Вступ має м</w:t>
      </w:r>
      <w:bookmarkStart w:id="1" w:name="_GoBack"/>
      <w:bookmarkEnd w:id="1"/>
      <w:r w:rsidRPr="00741E0D">
        <w:rPr>
          <w:rFonts w:ascii="Times New Roman" w:hAnsi="Times New Roman"/>
        </w:rPr>
        <w:t>ати проблемне завдання та відповідь на нього. Авторові варто коротко відобразити зміст поставленої проблеми.</w:t>
      </w:r>
    </w:p>
    <w:p w:rsidR="00741E0D" w:rsidRPr="00741E0D" w:rsidRDefault="00741E0D" w:rsidP="00741E0D">
      <w:pPr>
        <w:pStyle w:val="ListParagraph"/>
        <w:numPr>
          <w:ilvl w:val="0"/>
          <w:numId w:val="2"/>
        </w:numPr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/>
        </w:rPr>
      </w:pPr>
      <w:r w:rsidRPr="00741E0D">
        <w:rPr>
          <w:rFonts w:ascii="Times New Roman" w:hAnsi="Times New Roman"/>
        </w:rPr>
        <w:t>Основна частина есе має містити в собі вагомі аргументи, головні факти, ідеї, які донесуть ідею автора.</w:t>
      </w:r>
    </w:p>
    <w:p w:rsidR="00741E0D" w:rsidRPr="00741E0D" w:rsidRDefault="00741E0D" w:rsidP="00741E0D">
      <w:pPr>
        <w:pStyle w:val="ListParagraph"/>
        <w:numPr>
          <w:ilvl w:val="0"/>
          <w:numId w:val="2"/>
        </w:numPr>
        <w:tabs>
          <w:tab w:val="left" w:pos="1701"/>
        </w:tabs>
        <w:spacing w:line="288" w:lineRule="auto"/>
        <w:ind w:firstLine="709"/>
        <w:jc w:val="both"/>
        <w:rPr>
          <w:rFonts w:ascii="Times New Roman" w:hAnsi="Times New Roman"/>
        </w:rPr>
      </w:pPr>
      <w:r w:rsidRPr="00741E0D">
        <w:rPr>
          <w:rFonts w:ascii="Times New Roman" w:hAnsi="Times New Roman"/>
        </w:rPr>
        <w:t>Кінцівка есе може бути як стверджувальною, запитально чи незавершеними роздумами, але мусить спонукати до роздумів або переконає у своїй вагомості.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sz w:val="24"/>
          <w:szCs w:val="24"/>
        </w:rPr>
        <w:t>Головне варто пам’ятати, що упродовж усього есе має бути чітко прослідковуватися зв’язок між фактами та поставленою проблематикою.</w:t>
      </w:r>
    </w:p>
    <w:p w:rsidR="00741E0D" w:rsidRPr="00741E0D" w:rsidRDefault="00741E0D" w:rsidP="00741E0D">
      <w:pPr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1E0D" w:rsidRPr="00741E0D" w:rsidRDefault="00741E0D" w:rsidP="00741E0D">
      <w:pPr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Вимоги щодо оформлення есе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Титульний аркуш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Мова оформлення:</w:t>
      </w:r>
      <w:r w:rsidRPr="00741E0D">
        <w:rPr>
          <w:rFonts w:ascii="Times New Roman" w:hAnsi="Times New Roman"/>
          <w:sz w:val="24"/>
          <w:szCs w:val="24"/>
        </w:rPr>
        <w:t xml:space="preserve"> українська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Стиль</w:t>
      </w:r>
      <w:r w:rsidRPr="00741E0D">
        <w:rPr>
          <w:rFonts w:ascii="Times New Roman" w:hAnsi="Times New Roman"/>
          <w:sz w:val="24"/>
          <w:szCs w:val="24"/>
        </w:rPr>
        <w:t>: вільний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 xml:space="preserve">Формат сторінок: </w:t>
      </w:r>
      <w:r w:rsidRPr="00741E0D">
        <w:rPr>
          <w:rFonts w:ascii="Times New Roman" w:hAnsi="Times New Roman"/>
          <w:sz w:val="24"/>
          <w:szCs w:val="24"/>
        </w:rPr>
        <w:t>А4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Шрифт та розмір шрифту:</w:t>
      </w:r>
      <w:r w:rsidRPr="00741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E0D">
        <w:rPr>
          <w:rFonts w:ascii="Times New Roman" w:hAnsi="Times New Roman"/>
          <w:sz w:val="24"/>
          <w:szCs w:val="24"/>
        </w:rPr>
        <w:t>Times</w:t>
      </w:r>
      <w:proofErr w:type="spellEnd"/>
      <w:r w:rsidRPr="00741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E0D">
        <w:rPr>
          <w:rFonts w:ascii="Times New Roman" w:hAnsi="Times New Roman"/>
          <w:sz w:val="24"/>
          <w:szCs w:val="24"/>
        </w:rPr>
        <w:t>New</w:t>
      </w:r>
      <w:proofErr w:type="spellEnd"/>
      <w:r w:rsidRPr="00741E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E0D">
        <w:rPr>
          <w:rFonts w:ascii="Times New Roman" w:hAnsi="Times New Roman"/>
          <w:sz w:val="24"/>
          <w:szCs w:val="24"/>
        </w:rPr>
        <w:t>Roman</w:t>
      </w:r>
      <w:proofErr w:type="spellEnd"/>
      <w:r w:rsidRPr="00741E0D">
        <w:rPr>
          <w:rFonts w:ascii="Times New Roman" w:hAnsi="Times New Roman"/>
          <w:sz w:val="24"/>
          <w:szCs w:val="24"/>
        </w:rPr>
        <w:t>, 14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 xml:space="preserve">Міжрядковий інтервал: </w:t>
      </w:r>
      <w:r w:rsidRPr="00741E0D">
        <w:rPr>
          <w:rFonts w:ascii="Times New Roman" w:hAnsi="Times New Roman"/>
          <w:sz w:val="24"/>
          <w:szCs w:val="24"/>
        </w:rPr>
        <w:t>1,5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Обсяг есе:</w:t>
      </w:r>
      <w:r w:rsidRPr="00741E0D">
        <w:rPr>
          <w:rFonts w:ascii="Times New Roman" w:hAnsi="Times New Roman"/>
          <w:sz w:val="24"/>
          <w:szCs w:val="24"/>
        </w:rPr>
        <w:t xml:space="preserve"> 2–3 сторінок</w:t>
      </w:r>
    </w:p>
    <w:p w:rsidR="00741E0D" w:rsidRPr="00741E0D" w:rsidRDefault="00741E0D" w:rsidP="00741E0D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1E0D">
        <w:rPr>
          <w:rFonts w:ascii="Times New Roman" w:hAnsi="Times New Roman"/>
          <w:b/>
          <w:bCs/>
          <w:sz w:val="24"/>
          <w:szCs w:val="24"/>
        </w:rPr>
        <w:t>Поля</w:t>
      </w:r>
      <w:r w:rsidRPr="00741E0D">
        <w:rPr>
          <w:rFonts w:ascii="Times New Roman" w:hAnsi="Times New Roman"/>
          <w:sz w:val="24"/>
          <w:szCs w:val="24"/>
        </w:rPr>
        <w:t xml:space="preserve">: ліве поле – </w:t>
      </w:r>
      <w:smartTag w:uri="urn:schemas-microsoft-com:office:smarttags" w:element="metricconverter">
        <w:smartTagPr>
          <w:attr w:name="ProductID" w:val="30 мм"/>
        </w:smartTagPr>
        <w:r w:rsidRPr="00741E0D">
          <w:rPr>
            <w:rFonts w:ascii="Times New Roman" w:hAnsi="Times New Roman"/>
            <w:sz w:val="24"/>
            <w:szCs w:val="24"/>
          </w:rPr>
          <w:t>30 мм</w:t>
        </w:r>
      </w:smartTag>
      <w:r w:rsidRPr="00741E0D">
        <w:rPr>
          <w:rFonts w:ascii="Times New Roman" w:hAnsi="Times New Roman"/>
          <w:sz w:val="24"/>
          <w:szCs w:val="24"/>
        </w:rPr>
        <w:t xml:space="preserve">, праве – </w:t>
      </w:r>
      <w:smartTag w:uri="urn:schemas-microsoft-com:office:smarttags" w:element="metricconverter">
        <w:smartTagPr>
          <w:attr w:name="ProductID" w:val="15 мм"/>
        </w:smartTagPr>
        <w:r w:rsidRPr="00741E0D">
          <w:rPr>
            <w:rFonts w:ascii="Times New Roman" w:hAnsi="Times New Roman"/>
            <w:sz w:val="24"/>
            <w:szCs w:val="24"/>
          </w:rPr>
          <w:t>15 мм</w:t>
        </w:r>
      </w:smartTag>
      <w:r w:rsidRPr="00741E0D">
        <w:rPr>
          <w:rFonts w:ascii="Times New Roman" w:hAnsi="Times New Roman"/>
          <w:sz w:val="24"/>
          <w:szCs w:val="24"/>
        </w:rPr>
        <w:t xml:space="preserve">, верхнє і нижнє – </w:t>
      </w:r>
      <w:smartTag w:uri="urn:schemas-microsoft-com:office:smarttags" w:element="metricconverter">
        <w:smartTagPr>
          <w:attr w:name="ProductID" w:val="20 мм"/>
        </w:smartTagPr>
        <w:r w:rsidRPr="00741E0D">
          <w:rPr>
            <w:rFonts w:ascii="Times New Roman" w:hAnsi="Times New Roman"/>
            <w:sz w:val="24"/>
            <w:szCs w:val="24"/>
          </w:rPr>
          <w:t>20 мм</w:t>
        </w:r>
      </w:smartTag>
      <w:r w:rsidRPr="00741E0D">
        <w:rPr>
          <w:rFonts w:ascii="Times New Roman" w:hAnsi="Times New Roman"/>
          <w:sz w:val="24"/>
          <w:szCs w:val="24"/>
        </w:rPr>
        <w:t>.</w:t>
      </w:r>
    </w:p>
    <w:p w:rsidR="00741E0D" w:rsidRPr="00741E0D" w:rsidRDefault="00741E0D" w:rsidP="00741E0D">
      <w:pPr>
        <w:pStyle w:val="ListParagraph"/>
        <w:tabs>
          <w:tab w:val="left" w:pos="284"/>
        </w:tabs>
        <w:spacing w:line="288" w:lineRule="auto"/>
        <w:ind w:left="0"/>
        <w:jc w:val="both"/>
        <w:rPr>
          <w:rFonts w:ascii="Times New Roman" w:hAnsi="Times New Roman"/>
        </w:rPr>
      </w:pPr>
    </w:p>
    <w:p w:rsidR="00741E0D" w:rsidRPr="00741E0D" w:rsidRDefault="00741E0D" w:rsidP="00741E0D">
      <w:pPr>
        <w:rPr>
          <w:sz w:val="24"/>
          <w:szCs w:val="24"/>
        </w:rPr>
      </w:pPr>
    </w:p>
    <w:p w:rsidR="00741E0D" w:rsidRDefault="00741E0D" w:rsidP="00741E0D">
      <w:pPr>
        <w:spacing w:after="0"/>
        <w:jc w:val="both"/>
        <w:rPr>
          <w:rFonts w:ascii="Times New Roman" w:hAnsi="Times New Roman" w:cs="Times New Roman"/>
        </w:rPr>
      </w:pP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Загальнонаукові методи опрацювання історичних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Статистичні методи дослідження історичних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 w:rsidRPr="000C5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Головні складові порівняльно- історичного  методу.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 w:rsidRPr="000C5337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Палеографічний  метод вивчення джерел.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Дослідження </w:t>
      </w:r>
      <w:proofErr w:type="spellStart"/>
      <w:r w:rsidRPr="000C5337">
        <w:rPr>
          <w:rFonts w:ascii="Times New Roman" w:hAnsi="Times New Roman" w:cs="Times New Roman"/>
        </w:rPr>
        <w:t>зоонімів</w:t>
      </w:r>
      <w:proofErr w:type="spellEnd"/>
      <w:r w:rsidRPr="000C5337">
        <w:rPr>
          <w:rFonts w:ascii="Times New Roman" w:hAnsi="Times New Roman" w:cs="Times New Roman"/>
        </w:rPr>
        <w:t xml:space="preserve">  як складової частини історичних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Методи реконструкції  історичних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Методи  одержання інформації про  тему</w:t>
      </w:r>
      <w:r w:rsidRPr="002F1CE5">
        <w:rPr>
          <w:rFonts w:ascii="Times New Roman" w:hAnsi="Times New Roman" w:cs="Times New Roman"/>
        </w:rPr>
        <w:t xml:space="preserve"> </w:t>
      </w:r>
      <w:r w:rsidRPr="000C5337">
        <w:rPr>
          <w:rFonts w:ascii="Times New Roman" w:hAnsi="Times New Roman" w:cs="Times New Roman"/>
        </w:rPr>
        <w:t>історичного дослідження.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Методика вивчення літератури з теми історичного дослідження.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Головні етапи виявлення та опрацювання історичних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C5337">
        <w:rPr>
          <w:rFonts w:ascii="Times New Roman" w:hAnsi="Times New Roman" w:cs="Times New Roman"/>
        </w:rPr>
        <w:t>). Способи одержання та осмислення теоретико  - методологічної інформації  з питань теми історичного дослідження.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Основні складові поняття </w:t>
      </w:r>
      <w:r>
        <w:rPr>
          <w:rFonts w:ascii="Times New Roman" w:hAnsi="Times New Roman" w:cs="Times New Roman"/>
        </w:rPr>
        <w:t>«</w:t>
      </w:r>
      <w:r w:rsidRPr="000C5337">
        <w:rPr>
          <w:rFonts w:ascii="Times New Roman" w:hAnsi="Times New Roman" w:cs="Times New Roman"/>
        </w:rPr>
        <w:t>історичне джерело</w:t>
      </w:r>
      <w:r>
        <w:rPr>
          <w:rFonts w:ascii="Times New Roman" w:hAnsi="Times New Roman" w:cs="Times New Roman"/>
        </w:rPr>
        <w:t>»</w:t>
      </w:r>
      <w:r w:rsidRPr="000C5337">
        <w:rPr>
          <w:rFonts w:ascii="Times New Roman" w:hAnsi="Times New Roman" w:cs="Times New Roman"/>
        </w:rPr>
        <w:t>.  Його зв’язок з історичним процесом.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Методи  і прийоми  роботи з історичними джерелами.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Виражена і прихована інформація історичного джерела.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Процедура авторської </w:t>
      </w:r>
      <w:proofErr w:type="spellStart"/>
      <w:r w:rsidRPr="000C5337">
        <w:rPr>
          <w:rFonts w:ascii="Times New Roman" w:hAnsi="Times New Roman" w:cs="Times New Roman"/>
        </w:rPr>
        <w:t>атрибутації</w:t>
      </w:r>
      <w:proofErr w:type="spellEnd"/>
      <w:r w:rsidRPr="000C5337">
        <w:rPr>
          <w:rFonts w:ascii="Times New Roman" w:hAnsi="Times New Roman" w:cs="Times New Roman"/>
        </w:rPr>
        <w:t xml:space="preserve"> джерел.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Дослідження соціальної функції об’єкту що використовується як історичне джерело.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 w:rsidRPr="000C5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Текстологічна робота з  писемними джерелами.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 Методика і техніка фіксації даних джерела.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Основні складові джерелознавчого коментаря.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Маргіналії  їх зміст та види.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Зміст поняття джерелознавча легенда.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</w:t>
      </w:r>
      <w:proofErr w:type="spellStart"/>
      <w:r w:rsidRPr="000C5337">
        <w:rPr>
          <w:rFonts w:ascii="Times New Roman" w:hAnsi="Times New Roman" w:cs="Times New Roman"/>
        </w:rPr>
        <w:t>Фолькльорні</w:t>
      </w:r>
      <w:proofErr w:type="spellEnd"/>
      <w:r w:rsidRPr="000C5337">
        <w:rPr>
          <w:rFonts w:ascii="Times New Roman" w:hAnsi="Times New Roman" w:cs="Times New Roman"/>
        </w:rPr>
        <w:t xml:space="preserve"> джерела.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Етнографічні джерела.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Лінгвістичні  джерела..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 Особливості Законодавчих актів як історичного джерела.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25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Місце творів мистецтва серед інших історичних джерел.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Специфіка художніх творів як історичних джерел 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Історичний роман як історичне джерело 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 Особливості джерелознавчого аналізу документів політичних партій.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Праці ідеологів партій  як історичне джерело 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Особливості періодичної преси як історичного джерела.  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Методика вивчення матеріалів періодичної преси. Контент аналіз.</w:t>
      </w:r>
    </w:p>
    <w:p w:rsidR="00741E0D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Кореспонденції. Рецензії. Огляди як історичне джерело.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Актові джерела XVI - XVIII ст.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Головні ознаки фальсифікатів актових джерел українських земель у  XVI -XVIII ст.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 w:rsidRPr="000C5337">
        <w:rPr>
          <w:rFonts w:ascii="Times New Roman" w:hAnsi="Times New Roman" w:cs="Times New Roman"/>
        </w:rPr>
        <w:t xml:space="preserve"> виявлені дослідниками XIX ст.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Найдавніший період  розвитку генеалогій.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.Практична, утилітарна генеалогія  початку </w:t>
      </w:r>
      <w:r w:rsidRPr="000C5337">
        <w:rPr>
          <w:rFonts w:ascii="Times New Roman" w:hAnsi="Times New Roman" w:cs="Times New Roman"/>
        </w:rPr>
        <w:t xml:space="preserve">XIX  ст. – 60 рр. </w:t>
      </w:r>
      <w:r>
        <w:rPr>
          <w:rFonts w:ascii="Times New Roman" w:hAnsi="Times New Roman" w:cs="Times New Roman"/>
        </w:rPr>
        <w:t>X</w:t>
      </w:r>
      <w:r w:rsidRPr="000C5337">
        <w:rPr>
          <w:rFonts w:ascii="Times New Roman" w:hAnsi="Times New Roman" w:cs="Times New Roman"/>
        </w:rPr>
        <w:t>X ст.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Геральдика як спеціальна історична дисципліна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Походження гербів, соціальні функції, основи геральдичної теорії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 w:rsidRPr="000C53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Особливості формування української родової геральдики</w:t>
      </w:r>
      <w:r>
        <w:rPr>
          <w:rFonts w:ascii="Times New Roman" w:hAnsi="Times New Roman" w:cs="Times New Roman"/>
        </w:rPr>
        <w:t>:</w:t>
      </w:r>
      <w:r w:rsidRPr="000C5337">
        <w:rPr>
          <w:rFonts w:ascii="Times New Roman" w:hAnsi="Times New Roman" w:cs="Times New Roman"/>
        </w:rPr>
        <w:t xml:space="preserve">  а) шляхетські</w:t>
      </w:r>
      <w:r>
        <w:rPr>
          <w:rFonts w:ascii="Times New Roman" w:hAnsi="Times New Roman" w:cs="Times New Roman"/>
        </w:rPr>
        <w:t>;</w:t>
      </w:r>
      <w:r w:rsidRPr="000C5337">
        <w:rPr>
          <w:rFonts w:ascii="Times New Roman" w:hAnsi="Times New Roman" w:cs="Times New Roman"/>
        </w:rPr>
        <w:t xml:space="preserve"> б) клейноди козацької доби</w:t>
      </w:r>
      <w:r>
        <w:rPr>
          <w:rFonts w:ascii="Times New Roman" w:hAnsi="Times New Roman" w:cs="Times New Roman"/>
        </w:rPr>
        <w:t>;</w:t>
      </w:r>
      <w:r w:rsidRPr="000C5337">
        <w:rPr>
          <w:rFonts w:ascii="Times New Roman" w:hAnsi="Times New Roman" w:cs="Times New Roman"/>
        </w:rPr>
        <w:t xml:space="preserve">  в) герби малоросійського дворянства</w:t>
      </w:r>
      <w:r>
        <w:rPr>
          <w:rFonts w:ascii="Times New Roman" w:hAnsi="Times New Roman" w:cs="Times New Roman"/>
        </w:rPr>
        <w:t>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Стан і перспективи дослідження української родинної геральдики</w:t>
      </w:r>
      <w:r>
        <w:rPr>
          <w:rFonts w:ascii="Times New Roman" w:hAnsi="Times New Roman" w:cs="Times New Roman"/>
        </w:rPr>
        <w:t>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>Виникнення та соціальна функція гербів міст</w:t>
      </w:r>
      <w:r>
        <w:rPr>
          <w:rFonts w:ascii="Times New Roman" w:hAnsi="Times New Roman" w:cs="Times New Roman"/>
        </w:rPr>
        <w:t>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Особливості формування гербової традиції в Україні</w:t>
      </w:r>
      <w:r>
        <w:rPr>
          <w:rFonts w:ascii="Times New Roman" w:hAnsi="Times New Roman" w:cs="Times New Roman"/>
        </w:rPr>
        <w:t>.</w:t>
      </w:r>
    </w:p>
    <w:p w:rsidR="00741E0D" w:rsidRPr="000C5337" w:rsidRDefault="00741E0D" w:rsidP="00741E0D">
      <w:pPr>
        <w:pStyle w:val="a3"/>
        <w:spacing w:after="0"/>
        <w:jc w:val="both"/>
        <w:rPr>
          <w:rFonts w:ascii="Times New Roman" w:hAnsi="Times New Roman" w:cs="Times New Roman"/>
          <w:lang w:val="uk-UA"/>
        </w:rPr>
      </w:pPr>
      <w:r w:rsidRPr="000C5337">
        <w:rPr>
          <w:rFonts w:ascii="Times New Roman" w:hAnsi="Times New Roman" w:cs="Times New Roman"/>
          <w:lang w:val="uk-UA"/>
        </w:rPr>
        <w:t xml:space="preserve">а) </w:t>
      </w:r>
      <w:proofErr w:type="spellStart"/>
      <w:r w:rsidRPr="000C5337">
        <w:rPr>
          <w:rFonts w:ascii="Times New Roman" w:hAnsi="Times New Roman" w:cs="Times New Roman"/>
          <w:lang w:val="uk-UA"/>
        </w:rPr>
        <w:t>Догеральдичний</w:t>
      </w:r>
      <w:proofErr w:type="spellEnd"/>
      <w:r w:rsidRPr="000C5337">
        <w:rPr>
          <w:rFonts w:ascii="Times New Roman" w:hAnsi="Times New Roman" w:cs="Times New Roman"/>
          <w:lang w:val="uk-UA"/>
        </w:rPr>
        <w:t xml:space="preserve"> період</w:t>
      </w:r>
      <w:r>
        <w:rPr>
          <w:rFonts w:ascii="Times New Roman" w:hAnsi="Times New Roman" w:cs="Times New Roman"/>
          <w:lang w:val="uk-UA"/>
        </w:rPr>
        <w:t>;</w:t>
      </w:r>
      <w:r w:rsidRPr="000C5337">
        <w:rPr>
          <w:rFonts w:ascii="Times New Roman" w:hAnsi="Times New Roman" w:cs="Times New Roman"/>
          <w:lang w:val="uk-UA"/>
        </w:rPr>
        <w:t xml:space="preserve"> б)</w:t>
      </w:r>
      <w:proofErr w:type="spellStart"/>
      <w:r w:rsidRPr="000C5337">
        <w:rPr>
          <w:rFonts w:ascii="Times New Roman" w:hAnsi="Times New Roman" w:cs="Times New Roman"/>
          <w:lang w:val="uk-UA"/>
        </w:rPr>
        <w:t>Ранньогеральдичний</w:t>
      </w:r>
      <w:proofErr w:type="spellEnd"/>
      <w:r w:rsidRPr="000C5337">
        <w:rPr>
          <w:rFonts w:ascii="Times New Roman" w:hAnsi="Times New Roman" w:cs="Times New Roman"/>
          <w:lang w:val="uk-UA"/>
        </w:rPr>
        <w:t xml:space="preserve"> період</w:t>
      </w:r>
      <w:r>
        <w:rPr>
          <w:rFonts w:ascii="Times New Roman" w:hAnsi="Times New Roman" w:cs="Times New Roman"/>
          <w:lang w:val="uk-UA"/>
        </w:rPr>
        <w:t>;</w:t>
      </w:r>
      <w:r w:rsidRPr="000C5337">
        <w:rPr>
          <w:rFonts w:ascii="Times New Roman" w:hAnsi="Times New Roman" w:cs="Times New Roman"/>
          <w:lang w:val="uk-UA"/>
        </w:rPr>
        <w:t xml:space="preserve"> в)</w:t>
      </w:r>
      <w:proofErr w:type="spellStart"/>
      <w:r w:rsidRPr="000C5337">
        <w:rPr>
          <w:rFonts w:ascii="Times New Roman" w:hAnsi="Times New Roman" w:cs="Times New Roman"/>
          <w:lang w:val="uk-UA"/>
        </w:rPr>
        <w:t>Пізньогеральдичний</w:t>
      </w:r>
      <w:proofErr w:type="spellEnd"/>
      <w:r w:rsidRPr="000C5337">
        <w:rPr>
          <w:rFonts w:ascii="Times New Roman" w:hAnsi="Times New Roman" w:cs="Times New Roman"/>
          <w:lang w:val="uk-UA"/>
        </w:rPr>
        <w:t xml:space="preserve"> період</w:t>
      </w:r>
      <w:r>
        <w:rPr>
          <w:rFonts w:ascii="Times New Roman" w:hAnsi="Times New Roman" w:cs="Times New Roman"/>
          <w:lang w:val="uk-UA"/>
        </w:rPr>
        <w:t>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Радянська емблематика Українських міст</w:t>
      </w:r>
      <w:r>
        <w:rPr>
          <w:rFonts w:ascii="Times New Roman" w:hAnsi="Times New Roman" w:cs="Times New Roman"/>
        </w:rPr>
        <w:t>.</w:t>
      </w:r>
    </w:p>
    <w:p w:rsidR="00741E0D" w:rsidRPr="000C5337" w:rsidRDefault="00741E0D" w:rsidP="00741E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 w:rsidRPr="000C53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0C5337">
        <w:rPr>
          <w:rFonts w:ascii="Times New Roman" w:hAnsi="Times New Roman" w:cs="Times New Roman"/>
        </w:rPr>
        <w:t xml:space="preserve"> Сучасний стан та перспективи  процесу  місцевого </w:t>
      </w:r>
      <w:proofErr w:type="spellStart"/>
      <w:r w:rsidRPr="000C5337">
        <w:rPr>
          <w:rFonts w:ascii="Times New Roman" w:hAnsi="Times New Roman" w:cs="Times New Roman"/>
        </w:rPr>
        <w:t>герботворення</w:t>
      </w:r>
      <w:proofErr w:type="spellEnd"/>
      <w:r w:rsidRPr="000C5337">
        <w:rPr>
          <w:rFonts w:ascii="Times New Roman" w:hAnsi="Times New Roman" w:cs="Times New Roman"/>
        </w:rPr>
        <w:t>.</w:t>
      </w:r>
    </w:p>
    <w:p w:rsidR="00741E0D" w:rsidRPr="00BD1A56" w:rsidRDefault="00741E0D" w:rsidP="00741E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1E0D" w:rsidRPr="00597004" w:rsidRDefault="00741E0D" w:rsidP="00741E0D">
      <w:pPr>
        <w:rPr>
          <w:rFonts w:ascii="Times New Roman" w:hAnsi="Times New Roman" w:cs="Times New Roman"/>
        </w:rPr>
      </w:pPr>
    </w:p>
    <w:p w:rsidR="005E552A" w:rsidRDefault="005E552A"/>
    <w:sectPr w:rsidR="005E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0AA"/>
    <w:multiLevelType w:val="hybridMultilevel"/>
    <w:tmpl w:val="86E0BD1E"/>
    <w:lvl w:ilvl="0" w:tplc="62F003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E2459"/>
    <w:multiLevelType w:val="multilevel"/>
    <w:tmpl w:val="2DB2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3C"/>
    <w:rsid w:val="00231F3C"/>
    <w:rsid w:val="005E552A"/>
    <w:rsid w:val="0074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5EB9E3"/>
  <w15:chartTrackingRefBased/>
  <w15:docId w15:val="{942A2FC5-C5FC-4B77-B484-BEE557DC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0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E0D"/>
    <w:pPr>
      <w:ind w:left="720"/>
      <w:contextualSpacing/>
    </w:pPr>
    <w:rPr>
      <w:lang w:val="ru-RU"/>
    </w:rPr>
  </w:style>
  <w:style w:type="paragraph" w:styleId="a4">
    <w:name w:val="Normal (Web)"/>
    <w:basedOn w:val="a"/>
    <w:unhideWhenUsed/>
    <w:rsid w:val="0074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istParagraph">
    <w:name w:val="List Paragraph"/>
    <w:basedOn w:val="a"/>
    <w:rsid w:val="00741E0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2021-10-12T16:44:00Z</dcterms:created>
  <dcterms:modified xsi:type="dcterms:W3CDTF">2021-10-12T16:45:00Z</dcterms:modified>
</cp:coreProperties>
</file>