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31" w:type="dxa"/>
        <w:tblInd w:w="108" w:type="dxa"/>
        <w:tblLayout w:type="autofit"/>
        <w:tblCellMar>
          <w:top w:w="0" w:type="dxa"/>
          <w:left w:w="108" w:type="dxa"/>
          <w:bottom w:w="0" w:type="dxa"/>
          <w:right w:w="108" w:type="dxa"/>
        </w:tblCellMar>
      </w:tblPr>
      <w:tblGrid>
        <w:gridCol w:w="6737"/>
        <w:gridCol w:w="2694"/>
      </w:tblGrid>
      <w:tr>
        <w:tblPrEx>
          <w:tblCellMar>
            <w:top w:w="0" w:type="dxa"/>
            <w:left w:w="108" w:type="dxa"/>
            <w:bottom w:w="0" w:type="dxa"/>
            <w:right w:w="108" w:type="dxa"/>
          </w:tblCellMar>
        </w:tblPrEx>
        <w:trPr>
          <w:trHeight w:val="3000" w:hRule="atLeast"/>
        </w:trPr>
        <w:tc>
          <w:tcPr>
            <w:tcW w:w="6737" w:type="dxa"/>
          </w:tcPr>
          <w:p>
            <w:pPr>
              <w:ind w:left="-108"/>
              <w:rPr>
                <w:b/>
                <w:sz w:val="24"/>
                <w:szCs w:val="24"/>
                <w:lang w:val="uk-UA"/>
              </w:rPr>
            </w:pPr>
            <w:r>
              <w:rPr>
                <w:b/>
                <w:sz w:val="24"/>
                <w:szCs w:val="24"/>
                <w:lang w:val="uk-UA"/>
              </w:rPr>
              <w:t>«Затверджую»</w:t>
            </w:r>
          </w:p>
          <w:p>
            <w:pPr>
              <w:ind w:left="-108"/>
              <w:rPr>
                <w:sz w:val="24"/>
                <w:szCs w:val="24"/>
                <w:lang w:val="uk-UA"/>
              </w:rPr>
            </w:pPr>
          </w:p>
          <w:p>
            <w:pPr>
              <w:ind w:left="-108"/>
              <w:rPr>
                <w:sz w:val="24"/>
                <w:szCs w:val="24"/>
                <w:lang w:val="uk-UA"/>
              </w:rPr>
            </w:pPr>
            <w:r>
              <w:rPr>
                <w:sz w:val="24"/>
                <w:szCs w:val="24"/>
                <w:lang w:val="uk-UA"/>
              </w:rPr>
              <w:t xml:space="preserve">Завідувач кафедри інформаційних технологій </w:t>
            </w:r>
          </w:p>
          <w:p>
            <w:pPr>
              <w:ind w:left="-108"/>
              <w:rPr>
                <w:sz w:val="24"/>
                <w:szCs w:val="24"/>
                <w:lang w:val="uk-UA"/>
              </w:rPr>
            </w:pPr>
            <w:r>
              <w:rPr>
                <w:sz w:val="24"/>
                <w:szCs w:val="24"/>
                <w:lang w:val="uk-UA"/>
              </w:rPr>
              <w:t>проєктування та прикладної математики</w:t>
            </w:r>
          </w:p>
          <w:p>
            <w:pPr>
              <w:ind w:left="-108"/>
              <w:rPr>
                <w:i/>
                <w:sz w:val="24"/>
                <w:szCs w:val="24"/>
                <w:lang w:val="uk-UA"/>
              </w:rPr>
            </w:pPr>
            <w:r>
              <w:rPr>
                <w:sz w:val="24"/>
                <w:szCs w:val="24"/>
                <w:lang w:val="uk-UA"/>
              </w:rPr>
              <w:t>___________________    /Терентьєв О.О./</w:t>
            </w:r>
          </w:p>
          <w:p>
            <w:pPr>
              <w:ind w:left="-108"/>
              <w:rPr>
                <w:sz w:val="24"/>
                <w:szCs w:val="24"/>
                <w:lang w:val="uk-UA"/>
              </w:rPr>
            </w:pPr>
            <w:r>
              <w:rPr>
                <w:sz w:val="24"/>
                <w:szCs w:val="24"/>
                <w:lang w:val="uk-UA"/>
              </w:rPr>
              <w:t>«____» ____________20__ р.</w:t>
            </w:r>
          </w:p>
          <w:p>
            <w:pPr>
              <w:ind w:left="-108"/>
              <w:rPr>
                <w:sz w:val="24"/>
                <w:szCs w:val="24"/>
                <w:lang w:val="uk-UA"/>
              </w:rPr>
            </w:pPr>
            <w:r>
              <w:rPr>
                <w:sz w:val="24"/>
                <w:szCs w:val="24"/>
                <w:lang w:val="uk-UA"/>
              </w:rPr>
              <w:t>Розробник силабусу</w:t>
            </w:r>
          </w:p>
          <w:p>
            <w:pPr>
              <w:ind w:left="-108"/>
              <w:rPr>
                <w:i/>
                <w:sz w:val="24"/>
                <w:szCs w:val="24"/>
                <w:lang w:val="uk-UA"/>
              </w:rPr>
            </w:pPr>
            <w:r>
              <w:rPr>
                <w:sz w:val="24"/>
                <w:szCs w:val="24"/>
                <w:lang w:val="uk-UA"/>
              </w:rPr>
              <w:t>____________________  /</w:t>
            </w:r>
            <w:r>
              <w:rPr>
                <w:sz w:val="24"/>
                <w:szCs w:val="24"/>
                <w:lang w:val="ru-RU"/>
              </w:rPr>
              <w:t>Доля О.</w:t>
            </w:r>
            <w:r>
              <w:rPr>
                <w:sz w:val="24"/>
                <w:szCs w:val="24"/>
                <w:lang w:val="uk-UA"/>
              </w:rPr>
              <w:t xml:space="preserve">В. </w:t>
            </w:r>
          </w:p>
          <w:p>
            <w:pPr>
              <w:ind w:left="-108"/>
              <w:rPr>
                <w:b/>
                <w:lang w:val="uk-UA"/>
              </w:rPr>
            </w:pPr>
          </w:p>
        </w:tc>
        <w:tc>
          <w:tcPr>
            <w:tcW w:w="2694" w:type="dxa"/>
          </w:tcPr>
          <w:p>
            <w:pPr>
              <w:jc w:val="center"/>
              <w:rPr>
                <w:b/>
                <w:lang w:val="uk-UA"/>
              </w:rPr>
            </w:pPr>
          </w:p>
          <w:p>
            <w:pPr>
              <w:jc w:val="center"/>
              <w:rPr>
                <w:b/>
                <w:lang w:val="uk-UA"/>
              </w:rPr>
            </w:pPr>
            <w:r>
              <w:rPr>
                <w:lang w:val="ru-RU" w:eastAsia="ru-RU"/>
              </w:rPr>
              <w:drawing>
                <wp:inline distT="0" distB="0" distL="0" distR="0">
                  <wp:extent cx="1419225" cy="1800225"/>
                  <wp:effectExtent l="0" t="0" r="9525" b="9525"/>
                  <wp:docPr id="5" name="Рисунок 5" descr="Описание: 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Описание: LogoKNUBA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19225" cy="1800225"/>
                          </a:xfrm>
                          <a:prstGeom prst="rect">
                            <a:avLst/>
                          </a:prstGeom>
                          <a:noFill/>
                          <a:ln>
                            <a:noFill/>
                          </a:ln>
                        </pic:spPr>
                      </pic:pic>
                    </a:graphicData>
                  </a:graphic>
                </wp:inline>
              </w:drawing>
            </w:r>
          </w:p>
        </w:tc>
      </w:tr>
    </w:tbl>
    <w:p>
      <w:pPr>
        <w:tabs>
          <w:tab w:val="center" w:pos="4820"/>
        </w:tabs>
        <w:rPr>
          <w:b/>
          <w:sz w:val="32"/>
          <w:szCs w:val="32"/>
          <w:lang w:val="uk-UA"/>
        </w:rPr>
      </w:pPr>
    </w:p>
    <w:p>
      <w:pPr>
        <w:jc w:val="center"/>
        <w:rPr>
          <w:b/>
          <w:sz w:val="32"/>
          <w:szCs w:val="32"/>
          <w:lang w:val="en-US"/>
        </w:rPr>
      </w:pPr>
      <w:r>
        <w:rPr>
          <w:b/>
          <w:sz w:val="32"/>
          <w:szCs w:val="32"/>
          <w:lang w:val="ru-RU"/>
        </w:rPr>
        <w:t>СИЛАБУС</w:t>
      </w:r>
    </w:p>
    <w:p>
      <w:pPr>
        <w:jc w:val="center"/>
        <w:rPr>
          <w:b/>
          <w:sz w:val="32"/>
          <w:szCs w:val="32"/>
          <w:u w:val="single"/>
          <w:lang w:val="uk-UA"/>
        </w:rPr>
      </w:pPr>
      <w:r>
        <w:rPr>
          <w:b/>
          <w:sz w:val="32"/>
          <w:szCs w:val="32"/>
          <w:u w:val="single"/>
          <w:lang w:val="uk-UA"/>
        </w:rPr>
        <w:t>Статистика</w:t>
      </w:r>
    </w:p>
    <w:p>
      <w:pPr>
        <w:rPr>
          <w:sz w:val="28"/>
          <w:lang w:val="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tabs>
                <w:tab w:val="left" w:pos="315"/>
              </w:tabs>
              <w:spacing w:before="40" w:after="40"/>
              <w:jc w:val="both"/>
              <w:rPr>
                <w:b/>
                <w:caps/>
                <w:lang w:val="uk-UA"/>
              </w:rPr>
            </w:pPr>
            <w:r>
              <w:rPr>
                <w:b/>
                <w:bCs/>
              </w:rPr>
              <w:fldChar w:fldCharType="begin"/>
            </w:r>
            <w:r>
              <w:rPr>
                <w:b/>
                <w:bCs/>
                <w:lang w:val="ru-RU"/>
              </w:rPr>
              <w:instrText xml:space="preserve"> </w:instrText>
            </w:r>
            <w:r>
              <w:rPr>
                <w:b/>
                <w:bCs/>
              </w:rPr>
              <w:instrText xml:space="preserve">LISTNUM</w:instrText>
            </w:r>
            <w:r>
              <w:rPr>
                <w:b/>
                <w:bCs/>
                <w:lang w:val="ru-RU"/>
              </w:rPr>
              <w:instrText xml:space="preserve">  </w:instrText>
            </w:r>
            <w:r>
              <w:rPr>
                <w:b/>
                <w:bCs/>
              </w:rPr>
              <w:instrText xml:space="preserve">NumeracjaDomy</w:instrText>
            </w:r>
            <w:r>
              <w:rPr>
                <w:b/>
                <w:bCs/>
                <w:lang w:val="ru-RU"/>
              </w:rPr>
              <w:instrText xml:space="preserve">ś</w:instrText>
            </w:r>
            <w:r>
              <w:rPr>
                <w:b/>
                <w:bCs/>
              </w:rPr>
              <w:instrText xml:space="preserve">lna</w:instrText>
            </w:r>
            <w:r>
              <w:rPr>
                <w:b/>
                <w:bCs/>
                <w:lang w:val="ru-RU"/>
              </w:rPr>
              <w:instrText xml:space="preserve"> \</w:instrText>
            </w:r>
            <w:r>
              <w:rPr>
                <w:b/>
                <w:bCs/>
              </w:rPr>
              <w:instrText xml:space="preserve">s</w:instrText>
            </w:r>
            <w:r>
              <w:rPr>
                <w:b/>
                <w:bCs/>
                <w:lang w:val="ru-RU"/>
              </w:rPr>
              <w:instrText xml:space="preserve"> 01 </w:instrText>
            </w:r>
            <w:r>
              <w:rPr>
                <w:b/>
                <w:bCs/>
              </w:rPr>
              <w:fldChar w:fldCharType="end"/>
            </w:r>
            <w:r>
              <w:rPr>
                <w:b/>
                <w:lang w:val="ru-RU"/>
              </w:rPr>
              <w:t xml:space="preserve"> </w:t>
            </w:r>
            <w:r>
              <w:rPr>
                <w:b/>
                <w:lang w:val="uk-UA"/>
              </w:rPr>
              <w:t xml:space="preserve">Шифр за ОП:    </w:t>
            </w:r>
            <w:r>
              <w:rPr>
                <w:lang w:val="uk-UA"/>
              </w:rPr>
              <w:t>ОК</w:t>
            </w:r>
            <w:r>
              <w:rPr>
                <w:lang w:val="ru-RU"/>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pStyle w:val="17"/>
              <w:spacing w:before="40" w:after="40"/>
              <w:ind w:left="227" w:hanging="227"/>
              <w:rPr>
                <w:rFonts w:hint="default"/>
                <w:sz w:val="20"/>
                <w:lang w:val="uk-UA"/>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bCs/>
                <w:sz w:val="20"/>
                <w:lang w:val="uk-UA"/>
              </w:rPr>
              <w:t xml:space="preserve"> </w:t>
            </w:r>
            <w:r>
              <w:rPr>
                <w:b/>
                <w:sz w:val="20"/>
                <w:lang w:val="uk-UA"/>
              </w:rPr>
              <w:t>Навчальний рік:</w:t>
            </w:r>
            <w:r>
              <w:rPr>
                <w:sz w:val="20"/>
                <w:lang w:val="ru-RU"/>
              </w:rPr>
              <w:t xml:space="preserve"> </w:t>
            </w:r>
            <w:r>
              <w:rPr>
                <w:sz w:val="20"/>
                <w:lang w:val="uk-UA"/>
              </w:rPr>
              <w:t>202</w:t>
            </w:r>
            <w:r>
              <w:rPr>
                <w:rFonts w:hint="default"/>
                <w:sz w:val="20"/>
                <w:lang w:val="uk-UA"/>
              </w:rPr>
              <w:t>3</w:t>
            </w:r>
            <w:r>
              <w:rPr>
                <w:sz w:val="20"/>
                <w:lang w:val="uk-UA"/>
              </w:rPr>
              <w:t>/202</w:t>
            </w:r>
            <w:r>
              <w:rPr>
                <w:rFonts w:hint="default"/>
                <w:sz w:val="20"/>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pStyle w:val="17"/>
              <w:spacing w:before="40" w:after="40"/>
              <w:ind w:left="227" w:hanging="227"/>
              <w:rPr>
                <w:sz w:val="20"/>
                <w:lang w:val="uk-UA"/>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 xml:space="preserve"> </w:t>
            </w:r>
            <w:r>
              <w:rPr>
                <w:b/>
                <w:sz w:val="20"/>
                <w:lang w:val="uk-UA"/>
              </w:rPr>
              <w:t>О</w:t>
            </w:r>
            <w:r>
              <w:rPr>
                <w:b/>
                <w:sz w:val="20"/>
                <w:lang w:val="ru-RU"/>
              </w:rPr>
              <w:t>світній рівень</w:t>
            </w:r>
            <w:r>
              <w:rPr>
                <w:b/>
                <w:sz w:val="20"/>
                <w:lang w:val="uk-UA"/>
              </w:rPr>
              <w:t xml:space="preserve">: </w:t>
            </w:r>
            <w:r>
              <w:rPr>
                <w:sz w:val="20"/>
                <w:lang w:val="uk-UA"/>
              </w:rPr>
              <w:t xml:space="preserve"> першій (бакалаврський)рівень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6" w:hRule="atLeast"/>
        </w:trPr>
        <w:tc>
          <w:tcPr>
            <w:tcW w:w="5000" w:type="pct"/>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Форма навчання:</w:t>
            </w:r>
            <w:r>
              <w:rPr>
                <w:lang w:val="uk-UA"/>
              </w:rPr>
              <w:t xml:space="preserve"> 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tabs>
                <w:tab w:val="right" w:pos="963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Галузь знань</w:t>
            </w:r>
            <w:r>
              <w:rPr>
                <w:caps/>
              </w:rPr>
              <w:t>:</w:t>
            </w:r>
            <w:r>
              <w:rPr>
                <w:caps/>
                <w:lang w:val="uk-UA"/>
              </w:rPr>
              <w:t xml:space="preserve"> 07 «</w:t>
            </w:r>
            <w:r>
              <w:rPr>
                <w:lang w:val="uk-UA"/>
              </w:rPr>
              <w:t>Управління та адміністрування</w:t>
            </w:r>
            <w:r>
              <w:rPr>
                <w:caps/>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tabs>
                <w:tab w:val="left" w:pos="1910"/>
                <w:tab w:val="left" w:pos="3049"/>
              </w:tabs>
              <w:spacing w:before="40" w:after="40"/>
              <w:ind w:left="227" w:hanging="227"/>
              <w:rPr>
                <w:lang w:val="uk-UA"/>
              </w:rPr>
            </w:pPr>
            <w:r>
              <w:rPr>
                <w:b/>
                <w:bCs/>
              </w:rPr>
              <w:fldChar w:fldCharType="begin"/>
            </w:r>
            <w:r>
              <w:rPr>
                <w:b/>
                <w:bCs/>
              </w:rPr>
              <w:instrText xml:space="preserve"> LISTNUM  NumeracjaDomyślna</w:instrText>
            </w:r>
            <w:r>
              <w:rPr>
                <w:b/>
                <w:bCs/>
              </w:rPr>
              <w:fldChar w:fldCharType="end"/>
            </w:r>
            <w:r>
              <w:rPr>
                <w:b/>
              </w:rPr>
              <w:tab/>
            </w:r>
            <w:r>
              <w:rPr>
                <w:b/>
                <w:lang w:val="uk-UA"/>
              </w:rPr>
              <w:t xml:space="preserve">Спеціальність: </w:t>
            </w:r>
            <w:r>
              <w:rPr>
                <w:lang w:val="uk-UA"/>
              </w:rPr>
              <w:t>076 «</w:t>
            </w:r>
            <w:r>
              <w:t>Підприємництво, торгівля</w:t>
            </w:r>
            <w:r>
              <w:rPr>
                <w:lang w:val="uk-UA"/>
              </w:rPr>
              <w:t xml:space="preserve"> </w:t>
            </w:r>
            <w:r>
              <w:t>та біржова діяльність</w:t>
            </w:r>
            <w:r>
              <w:rPr>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 xml:space="preserve">8) </w:t>
            </w:r>
            <w:r>
              <w:rPr>
                <w:b/>
                <w:lang w:val="uk-UA"/>
              </w:rPr>
              <w:t>Компонента спеціальності</w:t>
            </w:r>
            <w:r>
              <w:rPr>
                <w:b/>
              </w:rPr>
              <w:t>:</w:t>
            </w:r>
            <w:r>
              <w:t xml:space="preserve"> </w:t>
            </w:r>
            <w:r>
              <w:rPr>
                <w:lang w:val="uk-UA"/>
              </w:rPr>
              <w:t xml:space="preserve">обов’язкова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rFonts w:hint="default"/>
                <w:lang w:val="uk-UA"/>
              </w:rPr>
            </w:pPr>
            <w:r>
              <w:rPr>
                <w:b/>
                <w:bCs/>
                <w:lang w:val="uk-UA"/>
              </w:rPr>
              <w:t>9)</w:t>
            </w:r>
            <w:r>
              <w:rPr>
                <w:b/>
              </w:rPr>
              <w:tab/>
            </w:r>
            <w:r>
              <w:rPr>
                <w:b/>
                <w:lang w:val="uk-UA"/>
              </w:rPr>
              <w:t>Семестр</w:t>
            </w:r>
            <w:r>
              <w:rPr>
                <w:b/>
              </w:rPr>
              <w:t>:</w:t>
            </w:r>
            <w:r>
              <w:rPr>
                <w:rFonts w:hint="default"/>
                <w:b/>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lang w:val="uk-UA"/>
              </w:rPr>
              <w:t>10) Цикл дисципліни</w:t>
            </w:r>
            <w:r>
              <w:rPr>
                <w:b/>
              </w:rPr>
              <w:t>:</w:t>
            </w:r>
            <w:r>
              <w:rPr>
                <w:highlight w:val="none"/>
              </w:rPr>
              <w:t xml:space="preserve"> </w:t>
            </w:r>
            <w:r>
              <w:rPr>
                <w:highlight w:val="none"/>
                <w:lang w:val="uk-UA"/>
              </w:rPr>
              <w:t>професійна та практична підготовка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spacing w:before="40" w:after="40"/>
              <w:ind w:left="360" w:hanging="360"/>
              <w:rPr>
                <w:b/>
                <w:bCs/>
                <w:lang w:val="uk-UA"/>
              </w:rPr>
            </w:pPr>
            <w:r>
              <w:rPr>
                <w:b/>
                <w:bCs/>
                <w:lang w:val="uk-UA"/>
              </w:rPr>
              <w:t>11)</w:t>
            </w:r>
            <w:r>
              <w:rPr>
                <w:b/>
                <w:bCs/>
                <w:lang w:val="uk-UA"/>
              </w:rPr>
              <w:tab/>
            </w:r>
            <w:r>
              <w:rPr>
                <w:b/>
                <w:bCs/>
                <w:lang w:val="uk-UA"/>
              </w:rPr>
              <w:t xml:space="preserve">Викладач (розробник карти): </w:t>
            </w:r>
            <w:r>
              <w:rPr>
                <w:lang w:val="uk-UA"/>
              </w:rPr>
              <w:t xml:space="preserve">доцент, к.ф-м.н. Доля О.В., </w:t>
            </w:r>
            <w:r>
              <w:fldChar w:fldCharType="begin"/>
            </w:r>
            <w:r>
              <w:instrText xml:space="preserve"> HYPERLINK "mailto:dolia.ov@knuba.edu.ua" </w:instrText>
            </w:r>
            <w:r>
              <w:fldChar w:fldCharType="separate"/>
            </w:r>
            <w:r>
              <w:rPr>
                <w:color w:val="0000FF"/>
                <w:u w:val="single"/>
              </w:rPr>
              <w:t>dolia.ov@knuba.edu.ua</w:t>
            </w:r>
            <w:r>
              <w:rPr>
                <w:color w:val="0000FF"/>
                <w:u w:val="single"/>
              </w:rPr>
              <w:fldChar w:fldCharType="end"/>
            </w:r>
            <w:r>
              <w:t xml:space="preserve">, </w:t>
            </w:r>
            <w:r>
              <w:fldChar w:fldCharType="begin"/>
            </w:r>
            <w:r>
              <w:instrText xml:space="preserve"> HYPERLINK "mailto:elena_367@ukr.net" </w:instrText>
            </w:r>
            <w:r>
              <w:fldChar w:fldCharType="separate"/>
            </w:r>
            <w:r>
              <w:rPr>
                <w:color w:val="0000FF"/>
                <w:u w:val="single"/>
              </w:rPr>
              <w:t>elena_367@ukr.net</w:t>
            </w:r>
            <w:r>
              <w:rPr>
                <w:color w:val="0000FF"/>
                <w:u w:val="single"/>
              </w:rPr>
              <w:fldChar w:fldCharType="end"/>
            </w:r>
            <w:r>
              <w:rPr>
                <w:lang w:val="uk-UA"/>
              </w:rPr>
              <w:t xml:space="preserve">, </w:t>
            </w:r>
            <w:r>
              <w:t>(044) 241-54-02, внутр. 4-02, кімната 367</w:t>
            </w:r>
            <w:r>
              <w:rPr>
                <w:lang w:val="uk-UA"/>
              </w:rPr>
              <w:t xml:space="preserve">, </w:t>
            </w:r>
            <w:r>
              <w:fldChar w:fldCharType="begin"/>
            </w:r>
            <w:r>
              <w:instrText xml:space="preserve"> HYPERLINK "http://org2.knuba.edu.ua/course/view.php?id=176" </w:instrText>
            </w:r>
            <w:r>
              <w:fldChar w:fldCharType="separate"/>
            </w:r>
            <w:r>
              <w:rPr>
                <w:rStyle w:val="6"/>
                <w:lang w:val="uk-UA"/>
              </w:rPr>
              <w:t>http://org2.knuba.edu.ua/course/view.php?id=176</w:t>
            </w:r>
            <w:r>
              <w:rPr>
                <w:rStyle w:val="6"/>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bCs/>
                <w:lang w:val="uk-UA"/>
              </w:rPr>
              <w:t xml:space="preserve">12) Мова навчання: </w:t>
            </w:r>
            <w:r>
              <w:rPr>
                <w:bCs/>
                <w:lang w:val="uk-UA"/>
              </w:rPr>
              <w:t>українська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tcBorders>
              <w:top w:val="single" w:color="auto" w:sz="4" w:space="0"/>
              <w:left w:val="single" w:color="auto" w:sz="4" w:space="0"/>
              <w:bottom w:val="single" w:color="auto" w:sz="4" w:space="0"/>
              <w:right w:val="single" w:color="auto" w:sz="4" w:space="0"/>
            </w:tcBorders>
          </w:tcPr>
          <w:p>
            <w:pPr>
              <w:spacing w:before="40" w:after="40"/>
              <w:ind w:left="360" w:hanging="360"/>
              <w:jc w:val="both"/>
              <w:rPr>
                <w:b/>
                <w:color w:val="E7E6E6" w:themeColor="background2"/>
                <w:spacing w:val="10"/>
                <w:highlight w:val="yellow"/>
                <w:lang w:val="uk-UA"/>
                <w14:shadow w14:blurRad="63500" w14:dist="50800" w14:dir="13500000" w14:sx="0" w14:sy="0" w14:kx="0" w14:ky="0" w14:algn="none">
                  <w14:srgbClr w14:val="000000">
                    <w14:alpha w14:val="50000"/>
                  </w14:srgbClr>
                </w14:shadow>
                <w14:textFill>
                  <w14:solidFill>
                    <w14:schemeClr w14:val="bg2"/>
                  </w14:solidFill>
                </w14:textFill>
              </w:rPr>
            </w:pPr>
            <w:r>
              <w:rPr>
                <w:b/>
                <w:lang w:val="uk-UA"/>
              </w:rPr>
              <w:t>13) Необхідні ввідні дисципліни: (що треба вивчити, щоб слухати цей курс)</w:t>
            </w:r>
            <w:r>
              <w:rPr>
                <w:lang w:val="uk-UA"/>
              </w:rPr>
              <w:t xml:space="preserve"> «Вища та прикладна математика»,</w:t>
            </w:r>
            <w:r>
              <w:rPr>
                <w:highlight w:val="none"/>
                <w:lang w:val="uk-UA"/>
              </w:rPr>
              <w:t xml:space="preserve"> «Комерційна діяльність».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49" w:hRule="atLeast"/>
        </w:trPr>
        <w:tc>
          <w:tcPr>
            <w:tcW w:w="5000" w:type="pct"/>
            <w:tcBorders>
              <w:top w:val="single" w:color="auto" w:sz="4" w:space="0"/>
              <w:left w:val="single" w:color="auto" w:sz="4" w:space="0"/>
              <w:bottom w:val="single" w:color="auto" w:sz="4" w:space="0"/>
              <w:right w:val="single" w:color="auto" w:sz="4" w:space="0"/>
            </w:tcBorders>
          </w:tcPr>
          <w:p>
            <w:pPr>
              <w:jc w:val="both"/>
              <w:rPr>
                <w:bCs/>
                <w:lang w:val="uk-UA"/>
              </w:rPr>
            </w:pPr>
            <w:r>
              <w:rPr>
                <w:b/>
                <w:bCs/>
                <w:lang w:val="uk-UA"/>
              </w:rPr>
              <w:t>14) Мета курсу:</w:t>
            </w:r>
            <w:r>
              <w:rPr>
                <w:rFonts w:eastAsia="Times New Roman"/>
                <w:lang w:val="uk-UA" w:eastAsia="zh-CN"/>
              </w:rPr>
              <w:t xml:space="preserve"> </w:t>
            </w:r>
            <w:r>
              <w:rPr>
                <w:bCs/>
                <w:lang w:val="uk-UA"/>
              </w:rPr>
              <w:t>формування у майбутніх фіхівців теоретичних знань та практичних навичок статистичної оцінки економічних явищ і процесів суспільного життя, оволодіння методами статистичного аналізу.</w:t>
            </w:r>
            <w:r>
              <w:rPr>
                <w:bCs/>
                <w:lang w:val="uk-UA"/>
              </w:rPr>
              <w:tab/>
            </w:r>
          </w:p>
        </w:tc>
      </w:tr>
    </w:tbl>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46"/>
        <w:gridCol w:w="1701"/>
        <w:gridCol w:w="35"/>
        <w:gridCol w:w="1242"/>
        <w:gridCol w:w="1070"/>
        <w:gridCol w:w="207"/>
        <w:gridCol w:w="1195"/>
        <w:gridCol w:w="504"/>
        <w:gridCol w:w="821"/>
        <w:gridCol w:w="31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keepNext/>
              <w:spacing w:before="40" w:after="40"/>
              <w:ind w:left="357" w:hanging="357"/>
              <w:rPr>
                <w:b/>
                <w:lang w:val="uk-UA"/>
              </w:rPr>
            </w:pPr>
            <w:r>
              <w:rPr>
                <w:b/>
                <w:bCs/>
                <w:lang w:val="uk-UA"/>
              </w:rPr>
              <w:t>15)</w:t>
            </w:r>
            <w:r>
              <w:rPr>
                <w:b/>
              </w:rPr>
              <w:tab/>
            </w:r>
            <w:r>
              <w:rPr>
                <w:b/>
                <w:lang w:val="uk-UA"/>
              </w:rPr>
              <w:t>Результати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1576" w:type="pct"/>
            <w:gridSpan w:val="3"/>
            <w:tcBorders>
              <w:top w:val="double" w:color="auto" w:sz="4" w:space="0"/>
              <w:left w:val="double" w:color="auto" w:sz="4" w:space="0"/>
              <w:bottom w:val="single" w:color="auto" w:sz="4" w:space="0"/>
              <w:right w:val="single" w:color="auto" w:sz="4" w:space="0"/>
            </w:tcBorders>
            <w:vAlign w:val="center"/>
          </w:tcPr>
          <w:p>
            <w:pPr>
              <w:jc w:val="center"/>
              <w:rPr>
                <w:b/>
                <w:sz w:val="18"/>
                <w:szCs w:val="18"/>
                <w:lang w:val="uk-UA"/>
              </w:rPr>
            </w:pPr>
            <w:r>
              <w:rPr>
                <w:b/>
                <w:sz w:val="18"/>
                <w:szCs w:val="18"/>
                <w:lang w:val="uk-UA"/>
              </w:rPr>
              <w:t>№</w:t>
            </w:r>
          </w:p>
        </w:tc>
        <w:tc>
          <w:tcPr>
            <w:tcW w:w="1182" w:type="pct"/>
            <w:gridSpan w:val="2"/>
            <w:tcBorders>
              <w:top w:val="double" w:color="auto" w:sz="4" w:space="0"/>
              <w:left w:val="single" w:color="auto" w:sz="4" w:space="0"/>
              <w:bottom w:val="single" w:color="auto" w:sz="4" w:space="0"/>
              <w:right w:val="single" w:color="auto" w:sz="4" w:space="0"/>
            </w:tcBorders>
            <w:vAlign w:val="center"/>
          </w:tcPr>
          <w:p>
            <w:pPr>
              <w:jc w:val="center"/>
              <w:rPr>
                <w:b/>
                <w:highlight w:val="yellow"/>
                <w:lang w:val="ru-RU"/>
              </w:rPr>
            </w:pPr>
            <w:r>
              <w:rPr>
                <w:b/>
                <w:lang w:val="uk-UA"/>
              </w:rPr>
              <w:t>Програмний результат навчання</w:t>
            </w:r>
          </w:p>
        </w:tc>
        <w:tc>
          <w:tcPr>
            <w:tcW w:w="717" w:type="pct"/>
            <w:gridSpan w:val="2"/>
            <w:tcBorders>
              <w:top w:val="double" w:color="auto" w:sz="4" w:space="0"/>
              <w:left w:val="single" w:color="auto" w:sz="4" w:space="0"/>
              <w:bottom w:val="single" w:color="auto" w:sz="4" w:space="0"/>
              <w:right w:val="single" w:color="auto" w:sz="4" w:space="0"/>
            </w:tcBorders>
            <w:vAlign w:val="center"/>
          </w:tcPr>
          <w:p>
            <w:pPr>
              <w:jc w:val="center"/>
              <w:rPr>
                <w:b/>
                <w:highlight w:val="cyan"/>
                <w:lang w:val="ru-RU"/>
              </w:rPr>
            </w:pPr>
            <w:r>
              <w:rPr>
                <w:b/>
                <w:lang w:val="uk-UA"/>
              </w:rPr>
              <w:t>Метод перевірки навчального ефекту</w:t>
            </w:r>
          </w:p>
        </w:tc>
        <w:tc>
          <w:tcPr>
            <w:tcW w:w="678" w:type="pct"/>
            <w:gridSpan w:val="2"/>
            <w:tcBorders>
              <w:top w:val="double" w:color="auto" w:sz="4" w:space="0"/>
              <w:left w:val="single" w:color="auto" w:sz="4" w:space="0"/>
              <w:bottom w:val="single" w:color="auto" w:sz="4" w:space="0"/>
              <w:right w:val="single" w:color="auto" w:sz="4" w:space="0"/>
            </w:tcBorders>
            <w:vAlign w:val="center"/>
          </w:tcPr>
          <w:p>
            <w:pPr>
              <w:jc w:val="center"/>
              <w:rPr>
                <w:b/>
                <w:lang w:val="uk-UA"/>
              </w:rPr>
            </w:pPr>
            <w:r>
              <w:rPr>
                <w:b/>
                <w:lang w:val="uk-UA"/>
              </w:rPr>
              <w:t>Форма проведення занять</w:t>
            </w:r>
          </w:p>
        </w:tc>
        <w:tc>
          <w:tcPr>
            <w:tcW w:w="847" w:type="pct"/>
            <w:gridSpan w:val="2"/>
            <w:tcBorders>
              <w:top w:val="double" w:color="auto" w:sz="4" w:space="0"/>
              <w:left w:val="single" w:color="auto" w:sz="4" w:space="0"/>
              <w:bottom w:val="single" w:color="auto" w:sz="4" w:space="0"/>
              <w:right w:val="double" w:color="auto" w:sz="4" w:space="0"/>
            </w:tcBorders>
            <w:vAlign w:val="center"/>
          </w:tcPr>
          <w:p>
            <w:pPr>
              <w:jc w:val="center"/>
              <w:rPr>
                <w:b/>
                <w:sz w:val="18"/>
                <w:szCs w:val="18"/>
                <w:highlight w:val="yellow"/>
                <w:lang w:val="uk-UA"/>
              </w:rPr>
            </w:pPr>
            <w:r>
              <w:rPr>
                <w:b/>
                <w:lang w:val="uk-UA"/>
              </w:rPr>
              <w:t>Посилання на програмні компетентності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025"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rPr>
            </w:pPr>
            <w:r>
              <w:rPr>
                <w:sz w:val="18"/>
                <w:szCs w:val="18"/>
              </w:rPr>
              <w:t>1.</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highlight w:val="yellow"/>
                <w:lang w:val="ru-RU"/>
              </w:rPr>
            </w:pPr>
            <w:r>
              <w:rPr>
                <w:rFonts w:eastAsia="Times New Roman"/>
                <w:lang w:val="uk-UA" w:eastAsia="ru-RU"/>
              </w:rPr>
              <w:t xml:space="preserve">ПР2.Застосовувати набуті знання для виявлення, постановки та вирішення </w:t>
            </w:r>
            <w:r>
              <w:rPr>
                <w:rFonts w:eastAsia="Times New Roman"/>
                <w:lang w:val="uk-UA" w:eastAsia="ru-RU"/>
              </w:rPr>
              <w:br w:type="textWrapping"/>
            </w:r>
            <w:r>
              <w:rPr>
                <w:rFonts w:eastAsia="Times New Roman"/>
                <w:lang w:val="uk-UA" w:eastAsia="ru-RU"/>
              </w:rPr>
              <w:t xml:space="preserve">завдань за різних практичних ситуацій в підприємницькій, торговельній та </w:t>
            </w:r>
            <w:r>
              <w:rPr>
                <w:rFonts w:eastAsia="Times New Roman"/>
                <w:lang w:val="uk-UA" w:eastAsia="ru-RU"/>
              </w:rPr>
              <w:br w:type="textWrapping"/>
            </w:r>
            <w:r>
              <w:rPr>
                <w:rFonts w:eastAsia="Times New Roman"/>
                <w:lang w:val="uk-UA" w:eastAsia="ru-RU"/>
              </w:rPr>
              <w:t>біржовій діяльності.</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r>
              <w:t>Обговорення під час занять, тематичне дослідження, к</w:t>
            </w:r>
            <w:r>
              <w:rPr>
                <w:lang w:val="uk-UA"/>
              </w:rPr>
              <w:t>онтрольна</w:t>
            </w:r>
            <w:r>
              <w:t xml:space="preserve"> робота</w:t>
            </w:r>
          </w:p>
        </w:tc>
        <w:tc>
          <w:tcPr>
            <w:tcW w:w="678" w:type="pct"/>
            <w:gridSpan w:val="2"/>
            <w:tcBorders>
              <w:top w:val="single" w:color="auto" w:sz="4" w:space="0"/>
              <w:left w:val="single" w:color="auto" w:sz="4" w:space="0"/>
              <w:bottom w:val="single" w:color="auto" w:sz="4" w:space="0"/>
              <w:right w:val="single" w:color="auto" w:sz="4" w:space="0"/>
            </w:tcBorders>
          </w:tcPr>
          <w:p>
            <w:pPr>
              <w:jc w:val="center"/>
            </w:pPr>
            <w:r>
              <w:t>Лекція, практичні заняття</w:t>
            </w: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ru-RU"/>
              </w:rPr>
            </w:pPr>
            <w:r>
              <w:rPr>
                <w:bCs/>
                <w:sz w:val="22"/>
                <w:szCs w:val="22"/>
                <w:lang w:val="ru-RU"/>
              </w:rPr>
              <w:t>ЗК 2.</w:t>
            </w:r>
          </w:p>
          <w:p>
            <w:pPr>
              <w:jc w:val="center"/>
              <w:rPr>
                <w:bCs/>
                <w:sz w:val="22"/>
                <w:szCs w:val="22"/>
                <w:lang w:val="uk-UA"/>
              </w:rPr>
            </w:pPr>
            <w:r>
              <w:rPr>
                <w:bCs/>
                <w:sz w:val="22"/>
                <w:szCs w:val="22"/>
                <w:lang w:val="uk-UA"/>
              </w:rPr>
              <w:t>ФК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454"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2.</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lang w:val="ru-RU"/>
              </w:rPr>
            </w:pPr>
            <w:r>
              <w:rPr>
                <w:lang w:val="ru-RU"/>
              </w:rPr>
              <w:t>ПР7.Демонструвати підприємливість в різних напрямах професійної діяльності та брати відповідальність за результати.</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bCs/>
                <w:sz w:val="22"/>
                <w:szCs w:val="22"/>
                <w:lang w:val="uk-UA"/>
              </w:rPr>
              <w:t>ЗК 8.</w:t>
            </w:r>
          </w:p>
          <w:p>
            <w:pPr>
              <w:jc w:val="center"/>
              <w:rPr>
                <w:bCs/>
                <w:sz w:val="22"/>
                <w:szCs w:val="22"/>
                <w:lang w:val="uk-UA"/>
              </w:rPr>
            </w:pPr>
            <w:r>
              <w:rPr>
                <w:bCs/>
                <w:sz w:val="22"/>
                <w:szCs w:val="22"/>
                <w:lang w:val="uk-UA"/>
              </w:rPr>
              <w:t>ЗК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904"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3.</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eastAsia="ru-RU"/>
              </w:rPr>
            </w:pPr>
            <w:r>
              <w:rPr>
                <w:rFonts w:eastAsia="Times New Roman"/>
                <w:lang w:val="ru-RU" w:eastAsia="ru-RU"/>
              </w:rPr>
              <w:t>ПР</w:t>
            </w:r>
            <w:r>
              <w:rPr>
                <w:rFonts w:eastAsia="Times New Roman"/>
                <w:lang w:eastAsia="ru-RU"/>
              </w:rPr>
              <w:t>8.</w:t>
            </w:r>
            <w:r>
              <w:rPr>
                <w:rFonts w:eastAsia="Times New Roman"/>
                <w:lang w:val="ru-RU" w:eastAsia="ru-RU"/>
              </w:rPr>
              <w:t>Застосовувати</w:t>
            </w:r>
            <w:r>
              <w:rPr>
                <w:rFonts w:eastAsia="Times New Roman"/>
                <w:lang w:eastAsia="ru-RU"/>
              </w:rPr>
              <w:t xml:space="preserve"> </w:t>
            </w:r>
            <w:r>
              <w:rPr>
                <w:rFonts w:eastAsia="Times New Roman"/>
                <w:lang w:val="ru-RU" w:eastAsia="ru-RU"/>
              </w:rPr>
              <w:t>одержані</w:t>
            </w:r>
            <w:r>
              <w:rPr>
                <w:rFonts w:eastAsia="Times New Roman"/>
                <w:lang w:eastAsia="ru-RU"/>
              </w:rPr>
              <w:t xml:space="preserve"> </w:t>
            </w:r>
            <w:r>
              <w:rPr>
                <w:rFonts w:eastAsia="Times New Roman"/>
                <w:lang w:val="ru-RU" w:eastAsia="ru-RU"/>
              </w:rPr>
              <w:t>знання</w:t>
            </w:r>
            <w:r>
              <w:rPr>
                <w:rFonts w:eastAsia="Times New Roman"/>
                <w:lang w:eastAsia="ru-RU"/>
              </w:rPr>
              <w:t xml:space="preserve"> </w:t>
            </w:r>
            <w:r>
              <w:rPr>
                <w:rFonts w:eastAsia="Times New Roman"/>
                <w:lang w:val="ru-RU" w:eastAsia="ru-RU"/>
              </w:rPr>
              <w:t>й</w:t>
            </w:r>
            <w:r>
              <w:rPr>
                <w:rFonts w:eastAsia="Times New Roman"/>
                <w:lang w:eastAsia="ru-RU"/>
              </w:rPr>
              <w:t xml:space="preserve"> </w:t>
            </w:r>
            <w:r>
              <w:rPr>
                <w:rFonts w:eastAsia="Times New Roman"/>
                <w:lang w:val="ru-RU" w:eastAsia="ru-RU"/>
              </w:rPr>
              <w:t>уміння</w:t>
            </w:r>
            <w:r>
              <w:rPr>
                <w:rFonts w:eastAsia="Times New Roman"/>
                <w:lang w:eastAsia="ru-RU"/>
              </w:rPr>
              <w:t xml:space="preserve"> </w:t>
            </w:r>
            <w:r>
              <w:rPr>
                <w:rFonts w:eastAsia="Times New Roman"/>
                <w:lang w:val="ru-RU" w:eastAsia="ru-RU"/>
              </w:rPr>
              <w:t>для</w:t>
            </w:r>
            <w:r>
              <w:rPr>
                <w:rFonts w:eastAsia="Times New Roman"/>
                <w:lang w:eastAsia="ru-RU"/>
              </w:rPr>
              <w:t xml:space="preserve"> </w:t>
            </w:r>
            <w:r>
              <w:rPr>
                <w:rFonts w:eastAsia="Times New Roman"/>
                <w:lang w:val="ru-RU" w:eastAsia="ru-RU"/>
              </w:rPr>
              <w:t>ініціювання</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реалізації</w:t>
            </w:r>
            <w:r>
              <w:rPr>
                <w:rFonts w:eastAsia="Times New Roman"/>
                <w:lang w:eastAsia="ru-RU"/>
              </w:rPr>
              <w:t xml:space="preserve"> </w:t>
            </w:r>
            <w:r>
              <w:rPr>
                <w:rFonts w:eastAsia="Times New Roman"/>
                <w:lang w:val="ru-RU" w:eastAsia="ru-RU"/>
              </w:rPr>
              <w:t>заходів</w:t>
            </w:r>
            <w:r>
              <w:rPr>
                <w:rFonts w:eastAsia="Times New Roman"/>
                <w:lang w:eastAsia="ru-RU"/>
              </w:rPr>
              <w:t xml:space="preserve"> </w:t>
            </w:r>
            <w:r>
              <w:rPr>
                <w:rFonts w:eastAsia="Times New Roman"/>
                <w:lang w:val="ru-RU" w:eastAsia="ru-RU"/>
              </w:rPr>
              <w:t>у</w:t>
            </w:r>
            <w:r>
              <w:rPr>
                <w:rFonts w:eastAsia="Times New Roman"/>
                <w:lang w:eastAsia="ru-RU"/>
              </w:rPr>
              <w:t xml:space="preserve"> </w:t>
            </w:r>
            <w:r>
              <w:rPr>
                <w:rFonts w:eastAsia="Times New Roman"/>
                <w:lang w:val="ru-RU" w:eastAsia="ru-RU"/>
              </w:rPr>
              <w:t>сфері</w:t>
            </w:r>
            <w:r>
              <w:rPr>
                <w:rFonts w:eastAsia="Times New Roman"/>
                <w:lang w:eastAsia="ru-RU"/>
              </w:rPr>
              <w:t xml:space="preserve"> </w:t>
            </w:r>
            <w:r>
              <w:rPr>
                <w:rFonts w:eastAsia="Times New Roman"/>
                <w:lang w:val="ru-RU" w:eastAsia="ru-RU"/>
              </w:rPr>
              <w:t>збереження</w:t>
            </w:r>
            <w:r>
              <w:rPr>
                <w:rFonts w:eastAsia="Times New Roman"/>
                <w:lang w:eastAsia="ru-RU"/>
              </w:rPr>
              <w:t xml:space="preserve"> </w:t>
            </w:r>
            <w:r>
              <w:rPr>
                <w:rFonts w:eastAsia="Times New Roman"/>
                <w:lang w:val="ru-RU" w:eastAsia="ru-RU"/>
              </w:rPr>
              <w:t>навколишнього</w:t>
            </w:r>
            <w:r>
              <w:rPr>
                <w:rFonts w:eastAsia="Times New Roman"/>
                <w:lang w:eastAsia="ru-RU"/>
              </w:rPr>
              <w:t xml:space="preserve"> </w:t>
            </w:r>
            <w:r>
              <w:rPr>
                <w:rFonts w:eastAsia="Times New Roman"/>
                <w:lang w:val="ru-RU" w:eastAsia="ru-RU"/>
              </w:rPr>
              <w:t>природного</w:t>
            </w:r>
            <w:r>
              <w:rPr>
                <w:rFonts w:eastAsia="Times New Roman"/>
                <w:lang w:eastAsia="ru-RU"/>
              </w:rPr>
              <w:t xml:space="preserve"> </w:t>
            </w:r>
            <w:r>
              <w:rPr>
                <w:rFonts w:eastAsia="Times New Roman"/>
                <w:lang w:val="ru-RU" w:eastAsia="ru-RU"/>
              </w:rPr>
              <w:t>середовища</w:t>
            </w:r>
            <w:r>
              <w:rPr>
                <w:rFonts w:eastAsia="Times New Roman"/>
                <w:lang w:eastAsia="ru-RU"/>
              </w:rPr>
              <w:t xml:space="preserve"> </w:t>
            </w:r>
            <w:r>
              <w:rPr>
                <w:rFonts w:eastAsia="Times New Roman"/>
                <w:lang w:val="ru-RU" w:eastAsia="ru-RU"/>
              </w:rPr>
              <w:t>і</w:t>
            </w:r>
            <w:r>
              <w:rPr>
                <w:rFonts w:eastAsia="Times New Roman"/>
                <w:lang w:eastAsia="ru-RU"/>
              </w:rPr>
              <w:t xml:space="preserve"> </w:t>
            </w:r>
            <w:r>
              <w:rPr>
                <w:rFonts w:eastAsia="Times New Roman"/>
                <w:lang w:val="ru-RU" w:eastAsia="ru-RU"/>
              </w:rPr>
              <w:t>здійснення</w:t>
            </w:r>
            <w:r>
              <w:rPr>
                <w:rFonts w:eastAsia="Times New Roman"/>
                <w:lang w:eastAsia="ru-RU"/>
              </w:rPr>
              <w:t xml:space="preserve"> </w:t>
            </w:r>
            <w:r>
              <w:rPr>
                <w:rFonts w:eastAsia="Times New Roman"/>
                <w:lang w:val="ru-RU" w:eastAsia="ru-RU"/>
              </w:rPr>
              <w:t>безпечної</w:t>
            </w:r>
            <w:r>
              <w:rPr>
                <w:rFonts w:eastAsia="Times New Roman"/>
                <w:lang w:eastAsia="ru-RU"/>
              </w:rPr>
              <w:t xml:space="preserve"> </w:t>
            </w:r>
            <w:r>
              <w:rPr>
                <w:rFonts w:eastAsia="Times New Roman"/>
                <w:lang w:val="ru-RU" w:eastAsia="ru-RU"/>
              </w:rPr>
              <w:t>діяльності</w:t>
            </w:r>
            <w:r>
              <w:rPr>
                <w:rFonts w:eastAsia="Times New Roman"/>
                <w:lang w:eastAsia="ru-RU"/>
              </w:rPr>
              <w:t xml:space="preserve"> </w:t>
            </w:r>
            <w:r>
              <w:rPr>
                <w:rFonts w:eastAsia="Times New Roman"/>
                <w:lang w:val="ru-RU" w:eastAsia="ru-RU"/>
              </w:rPr>
              <w:t>підприємницьких</w:t>
            </w:r>
            <w:r>
              <w:rPr>
                <w:rFonts w:eastAsia="Times New Roman"/>
                <w:lang w:eastAsia="ru-RU"/>
              </w:rPr>
              <w:t xml:space="preserve">, </w:t>
            </w:r>
            <w:r>
              <w:rPr>
                <w:rFonts w:eastAsia="Times New Roman"/>
                <w:lang w:val="ru-RU" w:eastAsia="ru-RU"/>
              </w:rPr>
              <w:t>торговельних</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біржових</w:t>
            </w:r>
            <w:r>
              <w:rPr>
                <w:rFonts w:eastAsia="Times New Roman"/>
                <w:lang w:eastAsia="ru-RU"/>
              </w:rPr>
              <w:t xml:space="preserve"> </w:t>
            </w:r>
            <w:r>
              <w:rPr>
                <w:rFonts w:eastAsia="Times New Roman"/>
                <w:lang w:val="ru-RU" w:eastAsia="ru-RU"/>
              </w:rPr>
              <w:t>структур</w:t>
            </w:r>
            <w:r>
              <w:rPr>
                <w:rFonts w:eastAsia="Times New Roman"/>
                <w:lang w:eastAsia="ru-RU"/>
              </w:rPr>
              <w:t>.</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ru-RU"/>
              </w:rPr>
            </w:pPr>
            <w:r>
              <w:rPr>
                <w:bCs/>
                <w:sz w:val="22"/>
                <w:szCs w:val="22"/>
                <w:lang w:val="ru-RU"/>
              </w:rPr>
              <w:t>ЗК 2.</w:t>
            </w:r>
          </w:p>
          <w:p>
            <w:pPr>
              <w:jc w:val="center"/>
              <w:rPr>
                <w:bCs/>
                <w:sz w:val="22"/>
                <w:szCs w:val="22"/>
                <w:lang w:val="uk-UA"/>
              </w:rPr>
            </w:pPr>
            <w:r>
              <w:rPr>
                <w:bCs/>
                <w:sz w:val="22"/>
                <w:szCs w:val="22"/>
                <w:lang w:val="uk-UA"/>
              </w:rPr>
              <w:t>ЗК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890"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4.</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val="ru-RU" w:eastAsia="ru-RU"/>
              </w:rPr>
            </w:pPr>
            <w:r>
              <w:rPr>
                <w:rFonts w:eastAsia="Times New Roman"/>
                <w:lang w:val="ru-RU" w:eastAsia="ru-RU"/>
              </w:rPr>
              <w:t>ПР11.Демонструвати базові й структуровані знання у сфері підприємництва, торгівлі та біржової діяльності для подальшого використання на практиці.</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ru-RU"/>
              </w:rPr>
            </w:pPr>
            <w:r>
              <w:rPr>
                <w:bCs/>
                <w:sz w:val="22"/>
                <w:szCs w:val="22"/>
                <w:lang w:val="ru-RU"/>
              </w:rPr>
              <w:t>ЗК 2.</w:t>
            </w:r>
          </w:p>
          <w:p>
            <w:pPr>
              <w:jc w:val="center"/>
              <w:rPr>
                <w:bCs/>
                <w:sz w:val="22"/>
                <w:szCs w:val="22"/>
                <w:lang w:val="uk-UA"/>
              </w:rPr>
            </w:pPr>
            <w:r>
              <w:rPr>
                <w:bCs/>
                <w:sz w:val="22"/>
                <w:szCs w:val="22"/>
                <w:lang w:val="uk-UA"/>
              </w:rPr>
              <w:t>ЗК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890"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5.</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val="uk-UA" w:eastAsia="ru-RU"/>
              </w:rPr>
            </w:pPr>
            <w:r>
              <w:rPr>
                <w:rFonts w:eastAsia="Times New Roman"/>
                <w:lang w:val="ru-RU" w:eastAsia="ru-RU"/>
              </w:rPr>
              <w:t>ПР</w:t>
            </w:r>
            <w:r>
              <w:rPr>
                <w:rFonts w:eastAsia="Times New Roman"/>
                <w:lang w:eastAsia="ru-RU"/>
              </w:rPr>
              <w:t xml:space="preserve">12. </w:t>
            </w:r>
            <w:r>
              <w:rPr>
                <w:rFonts w:eastAsia="Times New Roman"/>
                <w:lang w:val="ru-RU" w:eastAsia="ru-RU"/>
              </w:rPr>
              <w:t>Володіти</w:t>
            </w:r>
            <w:r>
              <w:rPr>
                <w:rFonts w:eastAsia="Times New Roman"/>
                <w:lang w:eastAsia="ru-RU"/>
              </w:rPr>
              <w:t xml:space="preserve"> </w:t>
            </w:r>
            <w:r>
              <w:rPr>
                <w:rFonts w:eastAsia="Times New Roman"/>
                <w:lang w:val="ru-RU" w:eastAsia="ru-RU"/>
              </w:rPr>
              <w:t>методами</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інструментарієм</w:t>
            </w:r>
            <w:r>
              <w:rPr>
                <w:rFonts w:eastAsia="Times New Roman"/>
                <w:lang w:eastAsia="ru-RU"/>
              </w:rPr>
              <w:t xml:space="preserve"> </w:t>
            </w:r>
            <w:r>
              <w:rPr>
                <w:rFonts w:eastAsia="Times New Roman"/>
                <w:lang w:val="ru-RU" w:eastAsia="ru-RU"/>
              </w:rPr>
              <w:t>для</w:t>
            </w:r>
            <w:r>
              <w:rPr>
                <w:rFonts w:eastAsia="Times New Roman"/>
                <w:lang w:eastAsia="ru-RU"/>
              </w:rPr>
              <w:t xml:space="preserve"> </w:t>
            </w:r>
            <w:r>
              <w:rPr>
                <w:rFonts w:eastAsia="Times New Roman"/>
                <w:lang w:val="ru-RU" w:eastAsia="ru-RU"/>
              </w:rPr>
              <w:t>обґрунтування</w:t>
            </w:r>
            <w:r>
              <w:rPr>
                <w:rFonts w:eastAsia="Times New Roman"/>
                <w:lang w:eastAsia="ru-RU"/>
              </w:rPr>
              <w:t xml:space="preserve"> </w:t>
            </w:r>
            <w:r>
              <w:rPr>
                <w:rFonts w:eastAsia="Times New Roman"/>
                <w:lang w:val="ru-RU" w:eastAsia="ru-RU"/>
              </w:rPr>
              <w:t>управлінських</w:t>
            </w:r>
            <w:r>
              <w:rPr>
                <w:rFonts w:eastAsia="Times New Roman"/>
                <w:lang w:eastAsia="ru-RU"/>
              </w:rPr>
              <w:t xml:space="preserve"> </w:t>
            </w:r>
            <w:r>
              <w:rPr>
                <w:rFonts w:eastAsia="Times New Roman"/>
                <w:lang w:val="ru-RU" w:eastAsia="ru-RU"/>
              </w:rPr>
              <w:t>рішень</w:t>
            </w:r>
            <w:r>
              <w:rPr>
                <w:rFonts w:eastAsia="Times New Roman"/>
                <w:lang w:eastAsia="ru-RU"/>
              </w:rPr>
              <w:t xml:space="preserve"> </w:t>
            </w:r>
            <w:r>
              <w:rPr>
                <w:rFonts w:eastAsia="Times New Roman"/>
                <w:lang w:val="ru-RU" w:eastAsia="ru-RU"/>
              </w:rPr>
              <w:t>щодо</w:t>
            </w:r>
            <w:r>
              <w:rPr>
                <w:rFonts w:eastAsia="Times New Roman"/>
                <w:lang w:eastAsia="ru-RU"/>
              </w:rPr>
              <w:t xml:space="preserve"> </w:t>
            </w:r>
            <w:r>
              <w:rPr>
                <w:rFonts w:eastAsia="Times New Roman"/>
                <w:lang w:val="ru-RU" w:eastAsia="ru-RU"/>
              </w:rPr>
              <w:t>створення</w:t>
            </w:r>
            <w:r>
              <w:rPr>
                <w:rFonts w:eastAsia="Times New Roman"/>
                <w:lang w:eastAsia="ru-RU"/>
              </w:rPr>
              <w:t xml:space="preserve"> </w:t>
            </w:r>
            <w:r>
              <w:rPr>
                <w:rFonts w:eastAsia="Times New Roman"/>
                <w:lang w:val="ru-RU" w:eastAsia="ru-RU"/>
              </w:rPr>
              <w:t>й</w:t>
            </w:r>
            <w:r>
              <w:rPr>
                <w:rFonts w:eastAsia="Times New Roman"/>
                <w:lang w:eastAsia="ru-RU"/>
              </w:rPr>
              <w:t xml:space="preserve"> </w:t>
            </w:r>
            <w:r>
              <w:rPr>
                <w:rFonts w:eastAsia="Times New Roman"/>
                <w:lang w:val="ru-RU" w:eastAsia="ru-RU"/>
              </w:rPr>
              <w:t>функціонування</w:t>
            </w:r>
            <w:r>
              <w:rPr>
                <w:rFonts w:eastAsia="Times New Roman"/>
                <w:lang w:eastAsia="ru-RU"/>
              </w:rPr>
              <w:t xml:space="preserve"> </w:t>
            </w:r>
            <w:r>
              <w:rPr>
                <w:rFonts w:eastAsia="Times New Roman"/>
                <w:lang w:val="ru-RU" w:eastAsia="ru-RU"/>
              </w:rPr>
              <w:t>підприємницьких</w:t>
            </w:r>
            <w:r>
              <w:rPr>
                <w:rFonts w:eastAsia="Times New Roman"/>
                <w:lang w:eastAsia="ru-RU"/>
              </w:rPr>
              <w:t xml:space="preserve">, </w:t>
            </w:r>
            <w:r>
              <w:rPr>
                <w:rFonts w:eastAsia="Times New Roman"/>
                <w:lang w:val="ru-RU" w:eastAsia="ru-RU"/>
              </w:rPr>
              <w:t>торговельних</w:t>
            </w:r>
            <w:r>
              <w:rPr>
                <w:rFonts w:eastAsia="Times New Roman"/>
                <w:lang w:eastAsia="ru-RU"/>
              </w:rPr>
              <w:t xml:space="preserve"> </w:t>
            </w:r>
            <w:r>
              <w:rPr>
                <w:rFonts w:eastAsia="Times New Roman"/>
                <w:lang w:val="ru-RU" w:eastAsia="ru-RU"/>
              </w:rPr>
              <w:t>і</w:t>
            </w:r>
            <w:r>
              <w:rPr>
                <w:rFonts w:eastAsia="Times New Roman"/>
                <w:lang w:eastAsia="ru-RU"/>
              </w:rPr>
              <w:t xml:space="preserve"> </w:t>
            </w:r>
            <w:r>
              <w:rPr>
                <w:rFonts w:eastAsia="Times New Roman"/>
                <w:lang w:val="ru-RU" w:eastAsia="ru-RU"/>
              </w:rPr>
              <w:t>біржових</w:t>
            </w:r>
            <w:r>
              <w:rPr>
                <w:rFonts w:eastAsia="Times New Roman"/>
                <w:lang w:eastAsia="ru-RU"/>
              </w:rPr>
              <w:t xml:space="preserve"> </w:t>
            </w:r>
            <w:r>
              <w:rPr>
                <w:rFonts w:eastAsia="Times New Roman"/>
                <w:lang w:val="ru-RU" w:eastAsia="ru-RU"/>
              </w:rPr>
              <w:t>структур</w:t>
            </w:r>
            <w:r>
              <w:rPr>
                <w:rFonts w:eastAsia="Times New Roman"/>
                <w:lang w:eastAsia="ru-RU"/>
              </w:rPr>
              <w:t>.</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bCs/>
                <w:sz w:val="22"/>
                <w:szCs w:val="22"/>
                <w:lang w:val="uk-UA"/>
              </w:rPr>
              <w:t>ЗК 8.</w:t>
            </w:r>
          </w:p>
          <w:p>
            <w:pPr>
              <w:jc w:val="center"/>
              <w:rPr>
                <w:bCs/>
                <w:sz w:val="22"/>
                <w:szCs w:val="22"/>
                <w:lang w:val="uk-UA"/>
              </w:rPr>
            </w:pPr>
            <w:r>
              <w:rPr>
                <w:bCs/>
                <w:sz w:val="22"/>
                <w:szCs w:val="22"/>
                <w:lang w:val="uk-UA"/>
              </w:rPr>
              <w:t>ФК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427"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6.</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eastAsia="ru-RU"/>
              </w:rPr>
            </w:pPr>
            <w:r>
              <w:rPr>
                <w:rFonts w:eastAsia="Times New Roman"/>
                <w:lang w:val="uk-UA" w:eastAsia="ru-RU"/>
              </w:rPr>
              <w:t>ПР</w:t>
            </w:r>
            <w:r>
              <w:rPr>
                <w:rFonts w:eastAsia="Times New Roman"/>
                <w:lang w:eastAsia="ru-RU"/>
              </w:rPr>
              <w:t>14.</w:t>
            </w:r>
            <w:r>
              <w:rPr>
                <w:rFonts w:eastAsia="Times New Roman"/>
                <w:lang w:val="uk-UA" w:eastAsia="ru-RU"/>
              </w:rPr>
              <w:t>Вміти</w:t>
            </w:r>
            <w:r>
              <w:rPr>
                <w:rFonts w:eastAsia="Times New Roman"/>
                <w:lang w:eastAsia="ru-RU"/>
              </w:rPr>
              <w:t xml:space="preserve"> </w:t>
            </w:r>
            <w:r>
              <w:rPr>
                <w:rFonts w:eastAsia="Times New Roman"/>
                <w:lang w:val="uk-UA" w:eastAsia="ru-RU"/>
              </w:rPr>
              <w:t>застосовувати</w:t>
            </w:r>
            <w:r>
              <w:rPr>
                <w:rFonts w:eastAsia="Times New Roman"/>
                <w:lang w:eastAsia="ru-RU"/>
              </w:rPr>
              <w:t xml:space="preserve"> </w:t>
            </w:r>
            <w:r>
              <w:rPr>
                <w:rFonts w:eastAsia="Times New Roman"/>
                <w:lang w:val="uk-UA" w:eastAsia="ru-RU"/>
              </w:rPr>
              <w:t>інноваційні</w:t>
            </w:r>
            <w:r>
              <w:rPr>
                <w:rFonts w:eastAsia="Times New Roman"/>
                <w:lang w:eastAsia="ru-RU"/>
              </w:rPr>
              <w:t xml:space="preserve"> </w:t>
            </w:r>
            <w:r>
              <w:rPr>
                <w:rFonts w:eastAsia="Times New Roman"/>
                <w:lang w:val="uk-UA" w:eastAsia="ru-RU"/>
              </w:rPr>
              <w:t>підходи</w:t>
            </w:r>
            <w:r>
              <w:rPr>
                <w:rFonts w:eastAsia="Times New Roman"/>
                <w:lang w:eastAsia="ru-RU"/>
              </w:rPr>
              <w:t xml:space="preserve"> </w:t>
            </w:r>
            <w:r>
              <w:rPr>
                <w:rFonts w:eastAsia="Times New Roman"/>
                <w:lang w:val="uk-UA" w:eastAsia="ru-RU"/>
              </w:rPr>
              <w:t>в</w:t>
            </w:r>
            <w:r>
              <w:rPr>
                <w:rFonts w:eastAsia="Times New Roman"/>
                <w:lang w:eastAsia="ru-RU"/>
              </w:rPr>
              <w:t xml:space="preserve"> </w:t>
            </w:r>
            <w:r>
              <w:rPr>
                <w:rFonts w:eastAsia="Times New Roman"/>
                <w:lang w:val="uk-UA" w:eastAsia="ru-RU"/>
              </w:rPr>
              <w:t>підприємницькій</w:t>
            </w:r>
            <w:r>
              <w:rPr>
                <w:rFonts w:eastAsia="Times New Roman"/>
                <w:lang w:eastAsia="ru-RU"/>
              </w:rPr>
              <w:t xml:space="preserve">, </w:t>
            </w:r>
            <w:r>
              <w:rPr>
                <w:rFonts w:eastAsia="Times New Roman"/>
                <w:lang w:val="uk-UA" w:eastAsia="ru-RU"/>
              </w:rPr>
              <w:t>торговельній</w:t>
            </w:r>
            <w:r>
              <w:rPr>
                <w:rFonts w:eastAsia="Times New Roman"/>
                <w:lang w:eastAsia="ru-RU"/>
              </w:rPr>
              <w:t xml:space="preserve"> </w:t>
            </w:r>
            <w:r>
              <w:rPr>
                <w:rFonts w:eastAsia="Times New Roman"/>
                <w:lang w:val="uk-UA" w:eastAsia="ru-RU"/>
              </w:rPr>
              <w:t>та</w:t>
            </w:r>
            <w:r>
              <w:rPr>
                <w:rFonts w:eastAsia="Times New Roman"/>
                <w:lang w:eastAsia="ru-RU"/>
              </w:rPr>
              <w:t xml:space="preserve"> </w:t>
            </w:r>
            <w:r>
              <w:rPr>
                <w:rFonts w:eastAsia="Times New Roman"/>
                <w:lang w:val="uk-UA" w:eastAsia="ru-RU"/>
              </w:rPr>
              <w:t>біржовій</w:t>
            </w:r>
            <w:r>
              <w:rPr>
                <w:rFonts w:eastAsia="Times New Roman"/>
                <w:lang w:eastAsia="ru-RU"/>
              </w:rPr>
              <w:t xml:space="preserve"> </w:t>
            </w:r>
            <w:r>
              <w:rPr>
                <w:rFonts w:eastAsia="Times New Roman"/>
                <w:lang w:val="uk-UA" w:eastAsia="ru-RU"/>
              </w:rPr>
              <w:t>діяльності</w:t>
            </w:r>
            <w:r>
              <w:rPr>
                <w:rFonts w:eastAsia="Times New Roman"/>
                <w:lang w:eastAsia="ru-RU"/>
              </w:rPr>
              <w:t>.</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bCs/>
                <w:sz w:val="22"/>
                <w:szCs w:val="22"/>
                <w:lang w:val="ru-RU"/>
              </w:rPr>
              <w:t>ЗК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920"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7.</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val="ru-RU" w:eastAsia="ru-RU"/>
              </w:rPr>
            </w:pPr>
            <w:r>
              <w:rPr>
                <w:rFonts w:eastAsia="Times New Roman"/>
                <w:lang w:val="ru-RU" w:eastAsia="ru-RU"/>
              </w:rPr>
              <w:t>ПР15.Оцінювати характеристики товарів і послуг у підприємницькій, торговельній</w:t>
            </w:r>
            <w:r>
              <w:rPr>
                <w:rFonts w:eastAsia="Times New Roman"/>
                <w:lang w:val="ru-RU" w:eastAsia="ru-RU"/>
              </w:rPr>
              <w:br w:type="textWrapping"/>
            </w:r>
            <w:r>
              <w:rPr>
                <w:rFonts w:eastAsia="Times New Roman"/>
                <w:lang w:val="ru-RU" w:eastAsia="ru-RU"/>
              </w:rPr>
              <w:t>та біржовій діяльності за допомогою сучасних методів.</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rFonts w:eastAsia="Times New Roman"/>
                <w:sz w:val="22"/>
                <w:szCs w:val="22"/>
                <w:lang w:val="ru-RU" w:eastAsia="ru-RU"/>
              </w:rPr>
              <w:t>ЗК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920"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8.</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eastAsia="ru-RU"/>
              </w:rPr>
            </w:pPr>
            <w:r>
              <w:rPr>
                <w:rFonts w:eastAsia="Times New Roman"/>
                <w:lang w:val="ru-RU" w:eastAsia="ru-RU"/>
              </w:rPr>
              <w:t>ПР</w:t>
            </w:r>
            <w:r>
              <w:rPr>
                <w:rFonts w:eastAsia="Times New Roman"/>
                <w:lang w:eastAsia="ru-RU"/>
              </w:rPr>
              <w:t>17.</w:t>
            </w:r>
            <w:r>
              <w:rPr>
                <w:rFonts w:eastAsia="Times New Roman"/>
                <w:lang w:val="ru-RU" w:eastAsia="ru-RU"/>
              </w:rPr>
              <w:t>Вміти</w:t>
            </w:r>
            <w:r>
              <w:rPr>
                <w:rFonts w:eastAsia="Times New Roman"/>
                <w:lang w:eastAsia="ru-RU"/>
              </w:rPr>
              <w:t xml:space="preserve"> </w:t>
            </w:r>
            <w:r>
              <w:rPr>
                <w:rFonts w:eastAsia="Times New Roman"/>
                <w:lang w:val="ru-RU" w:eastAsia="ru-RU"/>
              </w:rPr>
              <w:t>вирішувати</w:t>
            </w:r>
            <w:r>
              <w:rPr>
                <w:rFonts w:eastAsia="Times New Roman"/>
                <w:lang w:eastAsia="ru-RU"/>
              </w:rPr>
              <w:t xml:space="preserve"> </w:t>
            </w:r>
            <w:r>
              <w:rPr>
                <w:rFonts w:eastAsia="Times New Roman"/>
                <w:lang w:val="ru-RU" w:eastAsia="ru-RU"/>
              </w:rPr>
              <w:t>професійні</w:t>
            </w:r>
            <w:r>
              <w:rPr>
                <w:rFonts w:eastAsia="Times New Roman"/>
                <w:lang w:eastAsia="ru-RU"/>
              </w:rPr>
              <w:t xml:space="preserve"> </w:t>
            </w:r>
            <w:r>
              <w:rPr>
                <w:rFonts w:eastAsia="Times New Roman"/>
                <w:lang w:val="ru-RU" w:eastAsia="ru-RU"/>
              </w:rPr>
              <w:t>завдання</w:t>
            </w:r>
            <w:r>
              <w:rPr>
                <w:rFonts w:eastAsia="Times New Roman"/>
                <w:lang w:eastAsia="ru-RU"/>
              </w:rPr>
              <w:t xml:space="preserve"> </w:t>
            </w:r>
            <w:r>
              <w:rPr>
                <w:rFonts w:eastAsia="Times New Roman"/>
                <w:lang w:val="ru-RU" w:eastAsia="ru-RU"/>
              </w:rPr>
              <w:t>з</w:t>
            </w:r>
            <w:r>
              <w:rPr>
                <w:rFonts w:eastAsia="Times New Roman"/>
                <w:lang w:eastAsia="ru-RU"/>
              </w:rPr>
              <w:t xml:space="preserve"> </w:t>
            </w:r>
            <w:r>
              <w:rPr>
                <w:rFonts w:eastAsia="Times New Roman"/>
                <w:lang w:val="ru-RU" w:eastAsia="ru-RU"/>
              </w:rPr>
              <w:t>організації</w:t>
            </w:r>
            <w:r>
              <w:rPr>
                <w:rFonts w:eastAsia="Times New Roman"/>
                <w:lang w:eastAsia="ru-RU"/>
              </w:rPr>
              <w:t xml:space="preserve"> </w:t>
            </w:r>
            <w:r>
              <w:rPr>
                <w:rFonts w:eastAsia="Times New Roman"/>
                <w:lang w:val="ru-RU" w:eastAsia="ru-RU"/>
              </w:rPr>
              <w:t>діяльності</w:t>
            </w:r>
            <w:r>
              <w:rPr>
                <w:rFonts w:eastAsia="Times New Roman"/>
                <w:lang w:eastAsia="ru-RU"/>
              </w:rPr>
              <w:br w:type="textWrapping"/>
            </w:r>
            <w:r>
              <w:rPr>
                <w:rFonts w:eastAsia="Times New Roman"/>
                <w:lang w:val="ru-RU" w:eastAsia="ru-RU"/>
              </w:rPr>
              <w:t>підприємницьких</w:t>
            </w:r>
            <w:r>
              <w:rPr>
                <w:rFonts w:eastAsia="Times New Roman"/>
                <w:lang w:eastAsia="ru-RU"/>
              </w:rPr>
              <w:t xml:space="preserve">, </w:t>
            </w:r>
            <w:r>
              <w:rPr>
                <w:rFonts w:eastAsia="Times New Roman"/>
                <w:lang w:val="ru-RU" w:eastAsia="ru-RU"/>
              </w:rPr>
              <w:t>торговельних</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біржових</w:t>
            </w:r>
            <w:r>
              <w:rPr>
                <w:rFonts w:eastAsia="Times New Roman"/>
                <w:lang w:eastAsia="ru-RU"/>
              </w:rPr>
              <w:t xml:space="preserve"> </w:t>
            </w:r>
            <w:r>
              <w:rPr>
                <w:rFonts w:eastAsia="Times New Roman"/>
                <w:lang w:val="ru-RU" w:eastAsia="ru-RU"/>
              </w:rPr>
              <w:t>структур</w:t>
            </w:r>
            <w:r>
              <w:rPr>
                <w:rFonts w:eastAsia="Times New Roman"/>
                <w:lang w:eastAsia="ru-RU"/>
              </w:rPr>
              <w:t xml:space="preserve"> </w:t>
            </w:r>
            <w:r>
              <w:rPr>
                <w:rFonts w:eastAsia="Times New Roman"/>
                <w:lang w:val="ru-RU" w:eastAsia="ru-RU"/>
              </w:rPr>
              <w:t>і</w:t>
            </w:r>
            <w:r>
              <w:rPr>
                <w:rFonts w:eastAsia="Times New Roman"/>
                <w:lang w:eastAsia="ru-RU"/>
              </w:rPr>
              <w:t xml:space="preserve"> </w:t>
            </w:r>
            <w:r>
              <w:rPr>
                <w:rFonts w:eastAsia="Times New Roman"/>
                <w:lang w:val="ru-RU" w:eastAsia="ru-RU"/>
              </w:rPr>
              <w:t>розв</w:t>
            </w:r>
            <w:r>
              <w:rPr>
                <w:rFonts w:eastAsia="Times New Roman"/>
                <w:lang w:eastAsia="ru-RU"/>
              </w:rPr>
              <w:t>’</w:t>
            </w:r>
            <w:r>
              <w:rPr>
                <w:rFonts w:eastAsia="Times New Roman"/>
                <w:lang w:val="ru-RU" w:eastAsia="ru-RU"/>
              </w:rPr>
              <w:t>язувати</w:t>
            </w:r>
            <w:r>
              <w:rPr>
                <w:rFonts w:eastAsia="Times New Roman"/>
                <w:lang w:eastAsia="ru-RU"/>
              </w:rPr>
              <w:t xml:space="preserve"> </w:t>
            </w:r>
            <w:r>
              <w:rPr>
                <w:rFonts w:eastAsia="Times New Roman"/>
                <w:lang w:val="ru-RU" w:eastAsia="ru-RU"/>
              </w:rPr>
              <w:t>проблеми</w:t>
            </w:r>
            <w:r>
              <w:rPr>
                <w:rFonts w:eastAsia="Times New Roman"/>
                <w:lang w:eastAsia="ru-RU"/>
              </w:rPr>
              <w:t xml:space="preserve"> </w:t>
            </w:r>
            <w:r>
              <w:rPr>
                <w:rFonts w:eastAsia="Times New Roman"/>
                <w:lang w:val="ru-RU" w:eastAsia="ru-RU"/>
              </w:rPr>
              <w:t>у</w:t>
            </w:r>
            <w:r>
              <w:rPr>
                <w:rFonts w:eastAsia="Times New Roman"/>
                <w:lang w:eastAsia="ru-RU"/>
              </w:rPr>
              <w:t xml:space="preserve"> </w:t>
            </w:r>
            <w:r>
              <w:rPr>
                <w:rFonts w:eastAsia="Times New Roman"/>
                <w:lang w:val="ru-RU" w:eastAsia="ru-RU"/>
              </w:rPr>
              <w:t>кризових</w:t>
            </w:r>
            <w:r>
              <w:rPr>
                <w:rFonts w:eastAsia="Times New Roman"/>
                <w:lang w:eastAsia="ru-RU"/>
              </w:rPr>
              <w:t xml:space="preserve"> </w:t>
            </w:r>
            <w:r>
              <w:rPr>
                <w:rFonts w:eastAsia="Times New Roman"/>
                <w:lang w:val="ru-RU" w:eastAsia="ru-RU"/>
              </w:rPr>
              <w:t>ситуаціях</w:t>
            </w:r>
            <w:r>
              <w:rPr>
                <w:rFonts w:eastAsia="Times New Roman"/>
                <w:lang w:eastAsia="ru-RU"/>
              </w:rPr>
              <w:t xml:space="preserve"> </w:t>
            </w:r>
            <w:r>
              <w:rPr>
                <w:rFonts w:eastAsia="Times New Roman"/>
                <w:lang w:val="ru-RU" w:eastAsia="ru-RU"/>
              </w:rPr>
              <w:t>з</w:t>
            </w:r>
            <w:r>
              <w:rPr>
                <w:rFonts w:eastAsia="Times New Roman"/>
                <w:lang w:eastAsia="ru-RU"/>
              </w:rPr>
              <w:t xml:space="preserve"> </w:t>
            </w:r>
            <w:r>
              <w:rPr>
                <w:rFonts w:eastAsia="Times New Roman"/>
                <w:lang w:val="ru-RU" w:eastAsia="ru-RU"/>
              </w:rPr>
              <w:t>урахуванням</w:t>
            </w:r>
            <w:r>
              <w:rPr>
                <w:rFonts w:eastAsia="Times New Roman"/>
                <w:lang w:eastAsia="ru-RU"/>
              </w:rPr>
              <w:t xml:space="preserve"> </w:t>
            </w:r>
            <w:r>
              <w:rPr>
                <w:rFonts w:eastAsia="Times New Roman"/>
                <w:lang w:val="ru-RU" w:eastAsia="ru-RU"/>
              </w:rPr>
              <w:t>зовнішніх</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внутрішніх</w:t>
            </w:r>
            <w:r>
              <w:rPr>
                <w:rFonts w:eastAsia="Times New Roman"/>
                <w:lang w:eastAsia="ru-RU"/>
              </w:rPr>
              <w:t xml:space="preserve"> </w:t>
            </w:r>
            <w:r>
              <w:rPr>
                <w:rFonts w:eastAsia="Times New Roman"/>
                <w:lang w:val="ru-RU" w:eastAsia="ru-RU"/>
              </w:rPr>
              <w:t>впливів</w:t>
            </w:r>
            <w:r>
              <w:rPr>
                <w:rFonts w:eastAsia="Times New Roman"/>
                <w:lang w:eastAsia="ru-RU"/>
              </w:rPr>
              <w:t>.</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bCs/>
                <w:sz w:val="22"/>
                <w:szCs w:val="22"/>
                <w:lang w:val="uk-UA"/>
              </w:rPr>
              <w:t>ЗК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274"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9.</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eastAsia="ru-RU"/>
              </w:rPr>
            </w:pPr>
            <w:r>
              <w:rPr>
                <w:rFonts w:eastAsia="Times New Roman"/>
                <w:lang w:val="uk-UA" w:eastAsia="ru-RU"/>
              </w:rPr>
              <w:t>ПР18.Знати основи обліку та оподаткування в підприємницькій, торговельній і біржовій діяльності.</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uk-UA"/>
              </w:rPr>
            </w:pPr>
            <w:r>
              <w:rPr>
                <w:bCs/>
                <w:sz w:val="22"/>
                <w:szCs w:val="22"/>
                <w:lang w:val="ru-RU"/>
              </w:rPr>
              <w:t>Ф</w:t>
            </w:r>
            <w:r>
              <w:rPr>
                <w:bCs/>
                <w:sz w:val="22"/>
                <w:szCs w:val="22"/>
                <w:lang w:val="uk-UA"/>
              </w:rPr>
              <w:t>К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955" w:hRule="atLeast"/>
        </w:trPr>
        <w:tc>
          <w:tcPr>
            <w:tcW w:w="1576" w:type="pct"/>
            <w:gridSpan w:val="3"/>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10.</w:t>
            </w:r>
          </w:p>
        </w:tc>
        <w:tc>
          <w:tcPr>
            <w:tcW w:w="1182" w:type="pct"/>
            <w:gridSpan w:val="2"/>
            <w:tcBorders>
              <w:top w:val="single" w:color="auto" w:sz="4" w:space="0"/>
              <w:left w:val="single" w:color="auto" w:sz="4" w:space="0"/>
              <w:bottom w:val="single" w:color="auto" w:sz="4" w:space="0"/>
              <w:right w:val="single" w:color="auto" w:sz="4" w:space="0"/>
            </w:tcBorders>
          </w:tcPr>
          <w:p>
            <w:pPr>
              <w:jc w:val="both"/>
              <w:rPr>
                <w:rFonts w:eastAsia="Times New Roman"/>
                <w:lang w:eastAsia="ru-RU"/>
              </w:rPr>
            </w:pPr>
            <w:r>
              <w:rPr>
                <w:rFonts w:eastAsia="Times New Roman"/>
                <w:lang w:val="ru-RU" w:eastAsia="ru-RU"/>
              </w:rPr>
              <w:t>ПР</w:t>
            </w:r>
            <w:r>
              <w:rPr>
                <w:rFonts w:eastAsia="Times New Roman"/>
                <w:lang w:eastAsia="ru-RU"/>
              </w:rPr>
              <w:t>19.</w:t>
            </w:r>
            <w:r>
              <w:rPr>
                <w:rFonts w:eastAsia="Times New Roman"/>
                <w:lang w:val="ru-RU" w:eastAsia="ru-RU"/>
              </w:rPr>
              <w:t>Застосовувати</w:t>
            </w:r>
            <w:r>
              <w:rPr>
                <w:rFonts w:eastAsia="Times New Roman"/>
                <w:lang w:eastAsia="ru-RU"/>
              </w:rPr>
              <w:t xml:space="preserve"> </w:t>
            </w:r>
            <w:r>
              <w:rPr>
                <w:rFonts w:eastAsia="Times New Roman"/>
                <w:lang w:val="ru-RU" w:eastAsia="ru-RU"/>
              </w:rPr>
              <w:t>знання</w:t>
            </w:r>
            <w:r>
              <w:rPr>
                <w:rFonts w:eastAsia="Times New Roman"/>
                <w:lang w:eastAsia="ru-RU"/>
              </w:rPr>
              <w:t xml:space="preserve"> </w:t>
            </w:r>
            <w:r>
              <w:rPr>
                <w:rFonts w:eastAsia="Times New Roman"/>
                <w:lang w:val="ru-RU" w:eastAsia="ru-RU"/>
              </w:rPr>
              <w:t>й</w:t>
            </w:r>
            <w:r>
              <w:rPr>
                <w:rFonts w:eastAsia="Times New Roman"/>
                <w:lang w:eastAsia="ru-RU"/>
              </w:rPr>
              <w:t xml:space="preserve"> </w:t>
            </w:r>
            <w:r>
              <w:rPr>
                <w:rFonts w:eastAsia="Times New Roman"/>
                <w:lang w:val="ru-RU" w:eastAsia="ru-RU"/>
              </w:rPr>
              <w:t>уміння</w:t>
            </w:r>
            <w:r>
              <w:rPr>
                <w:rFonts w:eastAsia="Times New Roman"/>
                <w:lang w:eastAsia="ru-RU"/>
              </w:rPr>
              <w:t xml:space="preserve"> </w:t>
            </w:r>
            <w:r>
              <w:rPr>
                <w:rFonts w:eastAsia="Times New Roman"/>
                <w:lang w:val="ru-RU" w:eastAsia="ru-RU"/>
              </w:rPr>
              <w:t>для</w:t>
            </w:r>
            <w:r>
              <w:rPr>
                <w:rFonts w:eastAsia="Times New Roman"/>
                <w:lang w:eastAsia="ru-RU"/>
              </w:rPr>
              <w:t xml:space="preserve"> </w:t>
            </w:r>
            <w:r>
              <w:rPr>
                <w:rFonts w:eastAsia="Times New Roman"/>
                <w:lang w:val="ru-RU" w:eastAsia="ru-RU"/>
              </w:rPr>
              <w:t>забезпечення</w:t>
            </w:r>
            <w:r>
              <w:rPr>
                <w:rFonts w:eastAsia="Times New Roman"/>
                <w:lang w:eastAsia="ru-RU"/>
              </w:rPr>
              <w:t xml:space="preserve"> </w:t>
            </w:r>
            <w:r>
              <w:rPr>
                <w:rFonts w:eastAsia="Times New Roman"/>
                <w:lang w:val="ru-RU" w:eastAsia="ru-RU"/>
              </w:rPr>
              <w:t>ефективної</w:t>
            </w:r>
            <w:r>
              <w:rPr>
                <w:rFonts w:eastAsia="Times New Roman"/>
                <w:lang w:eastAsia="ru-RU"/>
              </w:rPr>
              <w:t xml:space="preserve"> </w:t>
            </w:r>
            <w:r>
              <w:rPr>
                <w:rFonts w:eastAsia="Times New Roman"/>
                <w:lang w:val="ru-RU" w:eastAsia="ru-RU"/>
              </w:rPr>
              <w:t>організації</w:t>
            </w:r>
            <w:r>
              <w:rPr>
                <w:rFonts w:eastAsia="Times New Roman"/>
                <w:lang w:eastAsia="ru-RU"/>
              </w:rPr>
              <w:br w:type="textWrapping"/>
            </w:r>
            <w:r>
              <w:rPr>
                <w:rFonts w:eastAsia="Times New Roman"/>
                <w:lang w:val="ru-RU" w:eastAsia="ru-RU"/>
              </w:rPr>
              <w:t>зовнішньоекономічної</w:t>
            </w:r>
            <w:r>
              <w:rPr>
                <w:rFonts w:eastAsia="Times New Roman"/>
                <w:lang w:eastAsia="ru-RU"/>
              </w:rPr>
              <w:t xml:space="preserve"> </w:t>
            </w:r>
            <w:r>
              <w:rPr>
                <w:rFonts w:eastAsia="Times New Roman"/>
                <w:lang w:val="ru-RU" w:eastAsia="ru-RU"/>
              </w:rPr>
              <w:t>діяльності</w:t>
            </w:r>
            <w:r>
              <w:rPr>
                <w:rFonts w:eastAsia="Times New Roman"/>
                <w:lang w:eastAsia="ru-RU"/>
              </w:rPr>
              <w:t xml:space="preserve"> </w:t>
            </w:r>
            <w:r>
              <w:rPr>
                <w:rFonts w:eastAsia="Times New Roman"/>
                <w:lang w:val="ru-RU" w:eastAsia="ru-RU"/>
              </w:rPr>
              <w:t>підприємницьких</w:t>
            </w:r>
            <w:r>
              <w:rPr>
                <w:rFonts w:eastAsia="Times New Roman"/>
                <w:lang w:eastAsia="ru-RU"/>
              </w:rPr>
              <w:t xml:space="preserve">, </w:t>
            </w:r>
            <w:r>
              <w:rPr>
                <w:rFonts w:eastAsia="Times New Roman"/>
                <w:lang w:val="ru-RU" w:eastAsia="ru-RU"/>
              </w:rPr>
              <w:t>торговельних</w:t>
            </w:r>
            <w:r>
              <w:rPr>
                <w:rFonts w:eastAsia="Times New Roman"/>
                <w:lang w:eastAsia="ru-RU"/>
              </w:rPr>
              <w:t xml:space="preserve"> </w:t>
            </w:r>
            <w:r>
              <w:rPr>
                <w:rFonts w:eastAsia="Times New Roman"/>
                <w:lang w:val="ru-RU" w:eastAsia="ru-RU"/>
              </w:rPr>
              <w:t>та</w:t>
            </w:r>
            <w:r>
              <w:rPr>
                <w:rFonts w:eastAsia="Times New Roman"/>
                <w:lang w:eastAsia="ru-RU"/>
              </w:rPr>
              <w:t xml:space="preserve"> </w:t>
            </w:r>
            <w:r>
              <w:rPr>
                <w:rFonts w:eastAsia="Times New Roman"/>
                <w:lang w:val="ru-RU" w:eastAsia="ru-RU"/>
              </w:rPr>
              <w:t>біржових</w:t>
            </w:r>
            <w:r>
              <w:rPr>
                <w:rFonts w:eastAsia="Times New Roman"/>
                <w:lang w:eastAsia="ru-RU"/>
              </w:rPr>
              <w:t xml:space="preserve"> </w:t>
            </w:r>
            <w:r>
              <w:rPr>
                <w:rFonts w:eastAsia="Times New Roman"/>
                <w:lang w:val="ru-RU" w:eastAsia="ru-RU"/>
              </w:rPr>
              <w:t>структур</w:t>
            </w:r>
            <w:r>
              <w:rPr>
                <w:rFonts w:eastAsia="Times New Roman"/>
                <w:lang w:eastAsia="ru-RU"/>
              </w:rPr>
              <w:t xml:space="preserve"> </w:t>
            </w:r>
            <w:r>
              <w:rPr>
                <w:rFonts w:eastAsia="Times New Roman"/>
                <w:lang w:val="ru-RU" w:eastAsia="ru-RU"/>
              </w:rPr>
              <w:t>з</w:t>
            </w:r>
            <w:r>
              <w:rPr>
                <w:rFonts w:eastAsia="Times New Roman"/>
                <w:lang w:eastAsia="ru-RU"/>
              </w:rPr>
              <w:t xml:space="preserve"> </w:t>
            </w:r>
            <w:r>
              <w:rPr>
                <w:rFonts w:eastAsia="Times New Roman"/>
                <w:lang w:val="ru-RU" w:eastAsia="ru-RU"/>
              </w:rPr>
              <w:t>урахуванням</w:t>
            </w:r>
            <w:r>
              <w:rPr>
                <w:rFonts w:eastAsia="Times New Roman"/>
                <w:lang w:eastAsia="ru-RU"/>
              </w:rPr>
              <w:t xml:space="preserve"> </w:t>
            </w:r>
            <w:r>
              <w:rPr>
                <w:rFonts w:eastAsia="Times New Roman"/>
                <w:lang w:val="ru-RU" w:eastAsia="ru-RU"/>
              </w:rPr>
              <w:t>ринкової</w:t>
            </w:r>
            <w:r>
              <w:rPr>
                <w:rFonts w:eastAsia="Times New Roman"/>
                <w:lang w:eastAsia="ru-RU"/>
              </w:rPr>
              <w:t xml:space="preserve"> </w:t>
            </w:r>
            <w:r>
              <w:rPr>
                <w:rFonts w:eastAsia="Times New Roman"/>
                <w:lang w:val="ru-RU" w:eastAsia="ru-RU"/>
              </w:rPr>
              <w:t>кон</w:t>
            </w:r>
            <w:r>
              <w:rPr>
                <w:rFonts w:eastAsia="Times New Roman"/>
                <w:lang w:eastAsia="ru-RU"/>
              </w:rPr>
              <w:t>’</w:t>
            </w:r>
            <w:r>
              <w:rPr>
                <w:rFonts w:eastAsia="Times New Roman"/>
                <w:lang w:val="ru-RU" w:eastAsia="ru-RU"/>
              </w:rPr>
              <w:t>юнктури</w:t>
            </w:r>
            <w:r>
              <w:rPr>
                <w:rFonts w:eastAsia="Times New Roman"/>
                <w:lang w:eastAsia="ru-RU"/>
              </w:rPr>
              <w:t xml:space="preserve"> </w:t>
            </w:r>
            <w:r>
              <w:rPr>
                <w:rFonts w:eastAsia="Times New Roman"/>
                <w:lang w:val="ru-RU" w:eastAsia="ru-RU"/>
              </w:rPr>
              <w:t>і</w:t>
            </w:r>
            <w:r>
              <w:rPr>
                <w:rFonts w:eastAsia="Times New Roman"/>
                <w:lang w:eastAsia="ru-RU"/>
              </w:rPr>
              <w:t xml:space="preserve"> </w:t>
            </w:r>
            <w:r>
              <w:rPr>
                <w:rFonts w:eastAsia="Times New Roman"/>
                <w:lang w:val="ru-RU" w:eastAsia="ru-RU"/>
              </w:rPr>
              <w:t>діючих</w:t>
            </w:r>
            <w:r>
              <w:rPr>
                <w:rFonts w:eastAsia="Times New Roman"/>
                <w:lang w:eastAsia="ru-RU"/>
              </w:rPr>
              <w:t xml:space="preserve"> </w:t>
            </w:r>
            <w:r>
              <w:rPr>
                <w:rFonts w:eastAsia="Times New Roman"/>
                <w:lang w:val="ru-RU" w:eastAsia="ru-RU"/>
              </w:rPr>
              <w:t>правових</w:t>
            </w:r>
            <w:r>
              <w:rPr>
                <w:rFonts w:eastAsia="Times New Roman"/>
                <w:lang w:eastAsia="ru-RU"/>
              </w:rPr>
              <w:t xml:space="preserve"> </w:t>
            </w:r>
            <w:r>
              <w:rPr>
                <w:rFonts w:eastAsia="Times New Roman"/>
                <w:lang w:val="ru-RU" w:eastAsia="ru-RU"/>
              </w:rPr>
              <w:t>норм</w:t>
            </w:r>
            <w:r>
              <w:rPr>
                <w:rFonts w:eastAsia="Times New Roman"/>
                <w:lang w:eastAsia="ru-RU"/>
              </w:rPr>
              <w:t>.</w:t>
            </w:r>
            <w:r>
              <w:rPr>
                <w:rFonts w:eastAsia="Times New Roman"/>
                <w:lang w:val="uk-UA" w:eastAsia="ru-RU"/>
              </w:rPr>
              <w:t>.</w:t>
            </w:r>
          </w:p>
        </w:tc>
        <w:tc>
          <w:tcPr>
            <w:tcW w:w="717" w:type="pct"/>
            <w:gridSpan w:val="2"/>
            <w:tcBorders>
              <w:top w:val="single" w:color="auto" w:sz="4" w:space="0"/>
              <w:left w:val="single" w:color="auto" w:sz="4" w:space="0"/>
              <w:bottom w:val="single" w:color="auto" w:sz="4" w:space="0"/>
              <w:right w:val="single" w:color="auto" w:sz="4" w:space="0"/>
            </w:tcBorders>
          </w:tcPr>
          <w:p>
            <w:pPr>
              <w:jc w:val="center"/>
            </w:pPr>
          </w:p>
        </w:tc>
        <w:tc>
          <w:tcPr>
            <w:tcW w:w="678" w:type="pct"/>
            <w:gridSpan w:val="2"/>
            <w:tcBorders>
              <w:top w:val="single" w:color="auto" w:sz="4" w:space="0"/>
              <w:left w:val="single" w:color="auto" w:sz="4" w:space="0"/>
              <w:bottom w:val="single" w:color="auto" w:sz="4" w:space="0"/>
              <w:right w:val="single" w:color="auto" w:sz="4" w:space="0"/>
            </w:tcBorders>
          </w:tcPr>
          <w:p>
            <w:pPr>
              <w:jc w:val="center"/>
            </w:pPr>
          </w:p>
        </w:tc>
        <w:tc>
          <w:tcPr>
            <w:tcW w:w="847" w:type="pct"/>
            <w:gridSpan w:val="2"/>
            <w:tcBorders>
              <w:top w:val="single" w:color="auto" w:sz="4" w:space="0"/>
              <w:left w:val="single" w:color="auto" w:sz="4" w:space="0"/>
              <w:bottom w:val="single" w:color="auto" w:sz="4" w:space="0"/>
              <w:right w:val="double" w:color="auto" w:sz="4" w:space="0"/>
            </w:tcBorders>
          </w:tcPr>
          <w:p>
            <w:pPr>
              <w:jc w:val="center"/>
              <w:rPr>
                <w:bCs/>
                <w:sz w:val="22"/>
                <w:szCs w:val="22"/>
                <w:lang w:val="ru-RU"/>
              </w:rPr>
            </w:pPr>
            <w:r>
              <w:rPr>
                <w:bCs/>
                <w:sz w:val="22"/>
                <w:szCs w:val="22"/>
                <w:lang w:val="ru-RU"/>
              </w:rPr>
              <w:t>ЗК 2.</w:t>
            </w:r>
          </w:p>
          <w:p>
            <w:pPr>
              <w:jc w:val="center"/>
              <w:rPr>
                <w:bCs/>
                <w:sz w:val="22"/>
                <w:szCs w:val="22"/>
                <w:lang w:val="uk-UA"/>
              </w:rPr>
            </w:pPr>
            <w:r>
              <w:rPr>
                <w:bCs/>
                <w:sz w:val="22"/>
                <w:szCs w:val="22"/>
                <w:lang w:val="uk-UA"/>
              </w:rPr>
              <w:t>ЗК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double" w:color="auto" w:sz="4" w:space="0"/>
              <w:left w:val="single" w:color="auto" w:sz="4" w:space="0"/>
              <w:bottom w:val="nil"/>
              <w:right w:val="single" w:color="auto" w:sz="4" w:space="0"/>
            </w:tcBorders>
          </w:tcPr>
          <w:p>
            <w:pPr>
              <w:keepNext/>
              <w:spacing w:before="40" w:after="40"/>
              <w:ind w:left="357" w:hanging="357"/>
              <w:rPr>
                <w:b/>
                <w:bCs/>
                <w:lang w:val="uk-UA"/>
              </w:rPr>
            </w:pPr>
            <w:r>
              <w:rPr>
                <w:b/>
                <w:bCs/>
                <w:lang w:val="uk-UA"/>
              </w:rPr>
              <w:t xml:space="preserve">16) </w:t>
            </w:r>
            <w:r>
              <w:rPr>
                <w:b/>
                <w:lang w:val="uk-UA"/>
              </w:rPr>
              <w:t>Стуктура курсу: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688" w:type="pct"/>
            <w:tcBorders>
              <w:top w:val="nil"/>
              <w:left w:val="single" w:color="auto" w:sz="4" w:space="0"/>
              <w:bottom w:val="nil"/>
              <w:right w:val="single" w:color="auto" w:sz="4" w:space="0"/>
            </w:tcBorders>
          </w:tcPr>
          <w:p>
            <w:pPr>
              <w:keepNext/>
              <w:spacing w:after="40"/>
              <w:rPr>
                <w:lang w:val="ru-RU"/>
              </w:rPr>
            </w:pPr>
          </w:p>
        </w:tc>
        <w:tc>
          <w:tcPr>
            <w:tcW w:w="870"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bCs/>
                <w:lang w:val="uk-UA"/>
              </w:rPr>
            </w:pPr>
            <w:r>
              <w:rPr>
                <w:bCs/>
                <w:lang w:val="uk-UA"/>
              </w:rPr>
              <w:t>Лекція</w:t>
            </w:r>
          </w:p>
        </w:tc>
        <w:tc>
          <w:tcPr>
            <w:tcW w:w="653"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Практичне заняття</w:t>
            </w:r>
          </w:p>
        </w:tc>
        <w:tc>
          <w:tcPr>
            <w:tcW w:w="653"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Лабораторні заняття</w:t>
            </w:r>
          </w:p>
        </w:tc>
        <w:tc>
          <w:tcPr>
            <w:tcW w:w="869"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Курсовий проект/ курсова робота</w:t>
            </w:r>
          </w:p>
          <w:p>
            <w:pPr>
              <w:keepNext/>
              <w:spacing w:before="40" w:after="40"/>
              <w:jc w:val="center"/>
              <w:rPr>
                <w:lang w:val="uk-UA"/>
              </w:rPr>
            </w:pPr>
            <w:r>
              <w:rPr>
                <w:lang w:val="uk-UA"/>
              </w:rPr>
              <w:t>РГР/Контрольна</w:t>
            </w:r>
          </w:p>
          <w:p>
            <w:pPr>
              <w:keepNext/>
              <w:spacing w:before="40" w:after="40"/>
              <w:jc w:val="center"/>
              <w:rPr>
                <w:lang w:val="uk-UA"/>
              </w:rPr>
            </w:pPr>
            <w:r>
              <w:rPr>
                <w:lang w:val="uk-UA"/>
              </w:rPr>
              <w:t>робота</w:t>
            </w:r>
          </w:p>
        </w:tc>
        <w:tc>
          <w:tcPr>
            <w:tcW w:w="580"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Самостійні робота студента</w:t>
            </w: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lang w:val="uk-UA"/>
              </w:rPr>
            </w:pPr>
            <w:r>
              <w:rPr>
                <w:lang w:val="uk-UA"/>
              </w:rPr>
              <w:t>Форма підсумкового контролю</w:t>
            </w:r>
          </w:p>
          <w:p>
            <w:pPr>
              <w:keepNext/>
              <w:spacing w:before="40" w:after="40"/>
              <w:jc w:val="center"/>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688" w:type="pct"/>
            <w:vMerge w:val="restart"/>
            <w:tcBorders>
              <w:top w:val="nil"/>
              <w:left w:val="single" w:color="auto" w:sz="4" w:space="0"/>
              <w:right w:val="single" w:color="auto" w:sz="4" w:space="0"/>
            </w:tcBorders>
          </w:tcPr>
          <w:p>
            <w:pPr>
              <w:spacing w:after="40"/>
            </w:pPr>
          </w:p>
        </w:tc>
        <w:tc>
          <w:tcPr>
            <w:tcW w:w="870" w:type="pct"/>
            <w:tcBorders>
              <w:top w:val="single" w:color="auto" w:sz="4" w:space="0"/>
              <w:left w:val="single" w:color="auto" w:sz="4" w:space="0"/>
              <w:bottom w:val="single" w:color="auto" w:sz="4" w:space="0"/>
              <w:right w:val="single" w:color="auto" w:sz="4" w:space="0"/>
            </w:tcBorders>
          </w:tcPr>
          <w:p>
            <w:pPr>
              <w:jc w:val="center"/>
              <w:rPr>
                <w:sz w:val="18"/>
                <w:szCs w:val="18"/>
                <w:lang w:val="uk-UA"/>
              </w:rPr>
            </w:pPr>
            <w:r>
              <w:rPr>
                <w:sz w:val="18"/>
                <w:szCs w:val="18"/>
                <w:lang w:val="uk-UA"/>
              </w:rPr>
              <w:t>32</w:t>
            </w:r>
          </w:p>
        </w:tc>
        <w:tc>
          <w:tcPr>
            <w:tcW w:w="653" w:type="pct"/>
            <w:gridSpan w:val="2"/>
            <w:tcBorders>
              <w:top w:val="single" w:color="auto" w:sz="4" w:space="0"/>
              <w:left w:val="single" w:color="auto" w:sz="4" w:space="0"/>
              <w:bottom w:val="single" w:color="auto" w:sz="4" w:space="0"/>
              <w:right w:val="single" w:color="auto" w:sz="4" w:space="0"/>
            </w:tcBorders>
          </w:tcPr>
          <w:p>
            <w:pPr>
              <w:jc w:val="center"/>
              <w:rPr>
                <w:sz w:val="18"/>
                <w:szCs w:val="18"/>
                <w:lang w:val="uk-UA"/>
              </w:rPr>
            </w:pPr>
            <w:r>
              <w:rPr>
                <w:sz w:val="18"/>
                <w:szCs w:val="18"/>
                <w:lang w:val="uk-UA"/>
              </w:rPr>
              <w:t>32</w:t>
            </w:r>
          </w:p>
        </w:tc>
        <w:tc>
          <w:tcPr>
            <w:tcW w:w="653" w:type="pct"/>
            <w:gridSpan w:val="2"/>
            <w:tcBorders>
              <w:top w:val="single" w:color="auto" w:sz="4" w:space="0"/>
              <w:left w:val="single" w:color="auto" w:sz="4" w:space="0"/>
              <w:bottom w:val="single" w:color="auto" w:sz="4" w:space="0"/>
              <w:right w:val="single" w:color="auto" w:sz="4" w:space="0"/>
            </w:tcBorders>
          </w:tcPr>
          <w:p>
            <w:pPr>
              <w:spacing w:before="40" w:after="40"/>
              <w:jc w:val="center"/>
            </w:pPr>
            <w:r>
              <w:t>-</w:t>
            </w:r>
          </w:p>
        </w:tc>
        <w:tc>
          <w:tcPr>
            <w:tcW w:w="869" w:type="pct"/>
            <w:gridSpan w:val="2"/>
            <w:tcBorders>
              <w:top w:val="single" w:color="auto" w:sz="4" w:space="0"/>
              <w:left w:val="single" w:color="auto" w:sz="4" w:space="0"/>
              <w:bottom w:val="single" w:color="auto" w:sz="4" w:space="0"/>
              <w:right w:val="single" w:color="auto" w:sz="4" w:space="0"/>
            </w:tcBorders>
          </w:tcPr>
          <w:p>
            <w:pPr>
              <w:jc w:val="center"/>
              <w:rPr>
                <w:lang w:val="uk-UA"/>
              </w:rPr>
            </w:pPr>
            <w:r>
              <w:rPr>
                <w:sz w:val="18"/>
                <w:szCs w:val="18"/>
                <w:lang w:val="uk-UA"/>
              </w:rPr>
              <w:t>Контрольна робота</w:t>
            </w:r>
          </w:p>
        </w:tc>
        <w:tc>
          <w:tcPr>
            <w:tcW w:w="580" w:type="pct"/>
            <w:gridSpan w:val="2"/>
            <w:tcBorders>
              <w:top w:val="single" w:color="auto" w:sz="4" w:space="0"/>
              <w:left w:val="single" w:color="auto" w:sz="4" w:space="0"/>
              <w:bottom w:val="single" w:color="auto" w:sz="4" w:space="0"/>
              <w:right w:val="single" w:color="auto" w:sz="4" w:space="0"/>
            </w:tcBorders>
          </w:tcPr>
          <w:p>
            <w:pPr>
              <w:jc w:val="center"/>
              <w:rPr>
                <w:highlight w:val="yellow"/>
                <w:lang w:val="uk-UA"/>
              </w:rPr>
            </w:pPr>
            <w:r>
              <w:rPr>
                <w:sz w:val="18"/>
                <w:szCs w:val="18"/>
                <w:lang w:val="uk-UA"/>
              </w:rPr>
              <w:t>26</w:t>
            </w:r>
          </w:p>
        </w:tc>
        <w:tc>
          <w:tcPr>
            <w:tcW w:w="687" w:type="pct"/>
            <w:tcBorders>
              <w:top w:val="single" w:color="auto" w:sz="4" w:space="0"/>
              <w:left w:val="single" w:color="auto" w:sz="4" w:space="0"/>
              <w:bottom w:val="single" w:color="auto" w:sz="4" w:space="0"/>
              <w:right w:val="single" w:color="auto" w:sz="4" w:space="0"/>
            </w:tcBorders>
          </w:tcPr>
          <w:p>
            <w:pPr>
              <w:jc w:val="center"/>
              <w:rPr>
                <w:highlight w:val="yellow"/>
                <w:lang w:val="uk-UA"/>
              </w:rPr>
            </w:pPr>
            <w:r>
              <w:rPr>
                <w:lang w:val="uk-UA"/>
              </w:rPr>
              <w:t>залік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688" w:type="pct"/>
            <w:vMerge w:val="continue"/>
            <w:tcBorders>
              <w:left w:val="single" w:color="auto" w:sz="4" w:space="0"/>
              <w:right w:val="single" w:color="auto" w:sz="4" w:space="0"/>
            </w:tcBorders>
          </w:tcPr>
          <w:p>
            <w:pPr>
              <w:spacing w:after="40"/>
            </w:pPr>
          </w:p>
        </w:tc>
        <w:tc>
          <w:tcPr>
            <w:tcW w:w="2176" w:type="pct"/>
            <w:gridSpan w:val="5"/>
            <w:tcBorders>
              <w:top w:val="single" w:color="auto" w:sz="4" w:space="0"/>
              <w:left w:val="single" w:color="auto" w:sz="4" w:space="0"/>
              <w:bottom w:val="single" w:color="auto" w:sz="4" w:space="0"/>
              <w:right w:val="single" w:color="auto" w:sz="4" w:space="0"/>
            </w:tcBorders>
          </w:tcPr>
          <w:p>
            <w:pPr>
              <w:spacing w:before="40" w:after="40"/>
            </w:pPr>
            <w:r>
              <w:t>Сума годин:</w:t>
            </w:r>
          </w:p>
        </w:tc>
        <w:tc>
          <w:tcPr>
            <w:tcW w:w="2136" w:type="pct"/>
            <w:gridSpan w:val="5"/>
            <w:tcBorders>
              <w:top w:val="single" w:color="auto" w:sz="4" w:space="0"/>
              <w:left w:val="single" w:color="auto" w:sz="4" w:space="0"/>
              <w:bottom w:val="single" w:color="auto" w:sz="4" w:space="0"/>
              <w:right w:val="single" w:color="auto" w:sz="4" w:space="0"/>
            </w:tcBorders>
            <w:vAlign w:val="center"/>
          </w:tcPr>
          <w:p>
            <w:pPr>
              <w:jc w:val="center"/>
              <w:rPr>
                <w:lang w:val="uk-UA"/>
              </w:rPr>
            </w:pPr>
            <w:r>
              <w:rPr>
                <w:lang w:val="uk-U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688" w:type="pct"/>
            <w:vMerge w:val="continue"/>
            <w:tcBorders>
              <w:left w:val="single" w:color="auto" w:sz="4" w:space="0"/>
              <w:right w:val="single" w:color="auto" w:sz="4" w:space="0"/>
            </w:tcBorders>
          </w:tcPr>
          <w:p>
            <w:pPr>
              <w:spacing w:after="40"/>
            </w:pPr>
          </w:p>
        </w:tc>
        <w:tc>
          <w:tcPr>
            <w:tcW w:w="2176" w:type="pct"/>
            <w:gridSpan w:val="5"/>
            <w:tcBorders>
              <w:top w:val="single" w:color="auto" w:sz="4" w:space="0"/>
              <w:left w:val="single" w:color="auto" w:sz="4" w:space="0"/>
              <w:bottom w:val="single" w:color="auto" w:sz="4" w:space="0"/>
              <w:right w:val="single" w:color="auto" w:sz="4" w:space="0"/>
            </w:tcBorders>
          </w:tcPr>
          <w:p>
            <w:pPr>
              <w:spacing w:before="40" w:after="40"/>
            </w:pPr>
            <w:r>
              <w:t>Загальні кількість кредитів ECTS:</w:t>
            </w:r>
          </w:p>
        </w:tc>
        <w:tc>
          <w:tcPr>
            <w:tcW w:w="2136" w:type="pct"/>
            <w:gridSpan w:val="5"/>
            <w:tcBorders>
              <w:top w:val="single" w:color="auto" w:sz="4" w:space="0"/>
              <w:left w:val="single" w:color="auto" w:sz="4" w:space="0"/>
              <w:bottom w:val="single" w:color="auto" w:sz="4" w:space="0"/>
              <w:right w:val="single" w:color="auto" w:sz="4" w:space="0"/>
            </w:tcBorders>
            <w:vAlign w:val="center"/>
          </w:tcPr>
          <w:p>
            <w:pPr>
              <w:jc w:val="center"/>
              <w:rPr>
                <w:lang w:val="uk-UA"/>
              </w:rPr>
            </w:pPr>
            <w:r>
              <w:rPr>
                <w:bCs/>
                <w:lang w:val="uk-U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688" w:type="pct"/>
            <w:vMerge w:val="continue"/>
            <w:tcBorders>
              <w:left w:val="single" w:color="auto" w:sz="4" w:space="0"/>
              <w:bottom w:val="single" w:color="auto" w:sz="4" w:space="0"/>
              <w:right w:val="single" w:color="auto" w:sz="4" w:space="0"/>
            </w:tcBorders>
          </w:tcPr>
          <w:p>
            <w:pPr>
              <w:spacing w:after="40"/>
            </w:pPr>
          </w:p>
        </w:tc>
        <w:tc>
          <w:tcPr>
            <w:tcW w:w="2176" w:type="pct"/>
            <w:gridSpan w:val="5"/>
            <w:tcBorders>
              <w:top w:val="single" w:color="auto" w:sz="4" w:space="0"/>
              <w:left w:val="single" w:color="auto" w:sz="4" w:space="0"/>
              <w:bottom w:val="single" w:color="auto" w:sz="4" w:space="0"/>
              <w:right w:val="single" w:color="auto" w:sz="4" w:space="0"/>
            </w:tcBorders>
          </w:tcPr>
          <w:p>
            <w:pPr>
              <w:spacing w:before="40" w:after="40"/>
            </w:pPr>
            <w:r>
              <w:t>Кількість годин (кредитів ECTS) аудиторного навантаження</w:t>
            </w:r>
          </w:p>
        </w:tc>
        <w:tc>
          <w:tcPr>
            <w:tcW w:w="2136" w:type="pct"/>
            <w:gridSpan w:val="5"/>
            <w:tcBorders>
              <w:top w:val="single" w:color="auto" w:sz="4" w:space="0"/>
              <w:left w:val="single" w:color="auto" w:sz="4" w:space="0"/>
              <w:bottom w:val="single" w:color="auto" w:sz="4" w:space="0"/>
              <w:right w:val="single" w:color="auto" w:sz="4" w:space="0"/>
            </w:tcBorders>
            <w:vAlign w:val="center"/>
          </w:tcPr>
          <w:p>
            <w:pPr>
              <w:jc w:val="center"/>
              <w:rPr>
                <w:lang w:val="uk-UA"/>
              </w:rPr>
            </w:pPr>
            <w:r>
              <w:rPr>
                <w:bCs/>
                <w:lang w:val="uk-UA"/>
              </w:rPr>
              <w:t>64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5000" w:type="pct"/>
            <w:gridSpan w:val="11"/>
            <w:tcBorders>
              <w:top w:val="single" w:color="auto" w:sz="4" w:space="0"/>
              <w:left w:val="single" w:color="auto" w:sz="4" w:space="0"/>
              <w:bottom w:val="single" w:color="auto" w:sz="4" w:space="0"/>
              <w:right w:val="single" w:color="auto" w:sz="4" w:space="0"/>
            </w:tcBorders>
          </w:tcPr>
          <w:p>
            <w:pPr>
              <w:rPr>
                <w:sz w:val="22"/>
                <w:szCs w:val="22"/>
                <w:lang w:val="uk-UA" w:eastAsia="ar-SA"/>
              </w:rPr>
            </w:pPr>
            <w:r>
              <w:rPr>
                <w:sz w:val="22"/>
                <w:szCs w:val="22"/>
                <w:lang w:val="uk-UA" w:eastAsia="ar-SA"/>
              </w:rPr>
              <w:t xml:space="preserve">17) </w:t>
            </w:r>
            <w:r>
              <w:rPr>
                <w:b/>
                <w:lang w:val="uk-UA" w:eastAsia="ar-SA"/>
              </w:rPr>
              <w:t>Зміст: (окремо для кожної форми занять – Л/Пр/Лаб/ КР/СРС)</w:t>
            </w:r>
          </w:p>
          <w:p>
            <w:pPr>
              <w:tabs>
                <w:tab w:val="left" w:pos="284"/>
                <w:tab w:val="left" w:pos="567"/>
              </w:tabs>
              <w:jc w:val="both"/>
              <w:rPr>
                <w:b/>
                <w:lang w:val="uk-UA" w:eastAsia="ar-SA"/>
              </w:rPr>
            </w:pPr>
            <w:r>
              <w:rPr>
                <w:b/>
                <w:lang w:val="uk-UA" w:eastAsia="ar-SA"/>
              </w:rPr>
              <w:t>Лекція:</w:t>
            </w:r>
          </w:p>
          <w:p>
            <w:pPr>
              <w:pStyle w:val="27"/>
              <w:numPr>
                <w:ilvl w:val="0"/>
                <w:numId w:val="1"/>
              </w:numPr>
              <w:tabs>
                <w:tab w:val="left" w:pos="284"/>
                <w:tab w:val="left" w:pos="567"/>
              </w:tabs>
              <w:spacing w:after="0" w:line="240" w:lineRule="auto"/>
              <w:jc w:val="both"/>
              <w:rPr>
                <w:rFonts w:ascii="Times New Roman" w:hAnsi="Times New Roman" w:cs="Times New Roman"/>
                <w:b/>
                <w:sz w:val="20"/>
                <w:szCs w:val="20"/>
                <w:lang w:val="uk-UA"/>
              </w:rPr>
            </w:pPr>
            <w:r>
              <w:rPr>
                <w:rFonts w:ascii="Times New Roman" w:hAnsi="Times New Roman" w:cs="Times New Roman"/>
                <w:sz w:val="20"/>
                <w:szCs w:val="20"/>
                <w:lang w:val="uk-UA"/>
              </w:rPr>
              <w:t xml:space="preserve"> </w:t>
            </w:r>
            <w:r>
              <w:rPr>
                <w:rFonts w:ascii="Times New Roman" w:hAnsi="Times New Roman" w:cs="Times New Roman"/>
                <w:b/>
                <w:sz w:val="20"/>
                <w:szCs w:val="20"/>
                <w:lang w:val="uk-UA"/>
              </w:rPr>
              <w:t>Методологічні засади статистики. Організація статистики в Україні</w:t>
            </w:r>
          </w:p>
          <w:p>
            <w:pPr>
              <w:tabs>
                <w:tab w:val="left" w:pos="284"/>
                <w:tab w:val="left" w:pos="567"/>
              </w:tabs>
              <w:ind w:firstLine="360"/>
              <w:jc w:val="both"/>
              <w:rPr>
                <w:lang w:val="uk-UA"/>
              </w:rPr>
            </w:pPr>
            <w:r>
              <w:rPr>
                <w:lang w:val="uk-UA"/>
              </w:rPr>
              <w:t>Становлення статистики як науки. Предмет статистики. Основні поняття і категорії статистичної науки.</w:t>
            </w:r>
          </w:p>
          <w:p>
            <w:pPr>
              <w:tabs>
                <w:tab w:val="left" w:pos="284"/>
                <w:tab w:val="left" w:pos="567"/>
              </w:tabs>
              <w:ind w:firstLine="360"/>
              <w:jc w:val="both"/>
              <w:rPr>
                <w:lang w:val="uk-UA"/>
              </w:rPr>
            </w:pPr>
            <w:r>
              <w:rPr>
                <w:lang w:val="uk-UA"/>
              </w:rPr>
              <w:t>Статистична сукупність. Одиниця сукупності та її ознаки. Закон великих чисел і статистичні закономірності. Метод статистики та статистична методологія. Узагальнюючі статистичні характеристики.</w:t>
            </w:r>
          </w:p>
          <w:p>
            <w:pPr>
              <w:tabs>
                <w:tab w:val="left" w:pos="284"/>
                <w:tab w:val="left" w:pos="567"/>
              </w:tabs>
              <w:ind w:firstLine="360"/>
              <w:jc w:val="both"/>
              <w:rPr>
                <w:lang w:val="uk-UA"/>
              </w:rPr>
            </w:pPr>
            <w:r>
              <w:rPr>
                <w:lang w:val="uk-UA"/>
              </w:rPr>
              <w:t>Галузі статистичної науки. Завдання статистики в сучасних умовах та її організація в Україні. Права та обов’язки органів державної статистики.</w:t>
            </w:r>
          </w:p>
          <w:p>
            <w:pPr>
              <w:tabs>
                <w:tab w:val="left" w:pos="284"/>
                <w:tab w:val="left" w:pos="567"/>
              </w:tabs>
              <w:jc w:val="both"/>
              <w:rPr>
                <w:lang w:val="uk-UA"/>
              </w:rPr>
            </w:pPr>
          </w:p>
          <w:p>
            <w:pPr>
              <w:numPr>
                <w:ilvl w:val="0"/>
                <w:numId w:val="1"/>
              </w:numPr>
              <w:rPr>
                <w:b/>
                <w:lang w:val="uk-UA" w:eastAsia="ar-SA"/>
              </w:rPr>
            </w:pPr>
            <w:r>
              <w:rPr>
                <w:b/>
              </w:rPr>
              <w:t>Статистичне спостереження</w:t>
            </w:r>
          </w:p>
          <w:p>
            <w:pPr>
              <w:tabs>
                <w:tab w:val="left" w:pos="284"/>
                <w:tab w:val="left" w:pos="567"/>
              </w:tabs>
              <w:ind w:firstLine="360"/>
              <w:jc w:val="both"/>
              <w:rPr>
                <w:lang w:val="uk-UA"/>
              </w:rPr>
            </w:pPr>
            <w:r>
              <w:rPr>
                <w:lang w:val="uk-UA"/>
              </w:rPr>
              <w:t>Суть, джерела та організаційні форми статистичного спостереження. Види статистичного спостереження відносно часу реєстрації фактів та повноти охоплення одиниць сукупності. Способи отримання даних. План статистичного спостереження. Мета спостереження. Об’єкт та одиниця спостереження. Програма спостереження. Статистичні формуляри та принципи їх розробки. Організаційні питання плану статистичного спостереження. Засоби забезпечення точності спостереження.</w:t>
            </w:r>
          </w:p>
          <w:p>
            <w:pPr>
              <w:tabs>
                <w:tab w:val="left" w:pos="284"/>
                <w:tab w:val="left" w:pos="567"/>
              </w:tabs>
              <w:ind w:firstLine="360"/>
              <w:jc w:val="both"/>
              <w:rPr>
                <w:lang w:val="uk-UA"/>
              </w:rPr>
            </w:pPr>
            <w:r>
              <w:rPr>
                <w:lang w:val="uk-UA"/>
              </w:rPr>
              <w:t>Первинний облік та звітність. Види звітності. Основні форми статистичної звітності підприємств торгівлі.</w:t>
            </w:r>
          </w:p>
          <w:p>
            <w:pPr>
              <w:numPr>
                <w:ilvl w:val="0"/>
                <w:numId w:val="1"/>
              </w:numPr>
              <w:rPr>
                <w:b/>
                <w:lang w:val="uk-UA" w:eastAsia="ar-SA"/>
              </w:rPr>
            </w:pPr>
            <w:r>
              <w:rPr>
                <w:b/>
                <w:lang w:val="uk-UA" w:eastAsia="ar-SA"/>
              </w:rPr>
              <w:t xml:space="preserve">Зведення та групування статистичних даних </w:t>
            </w:r>
          </w:p>
          <w:p>
            <w:pPr>
              <w:tabs>
                <w:tab w:val="left" w:pos="284"/>
                <w:tab w:val="left" w:pos="567"/>
              </w:tabs>
              <w:ind w:firstLine="360"/>
              <w:jc w:val="both"/>
              <w:rPr>
                <w:lang w:val="uk-UA"/>
              </w:rPr>
            </w:pPr>
            <w:r>
              <w:rPr>
                <w:lang w:val="uk-UA"/>
              </w:rPr>
              <w:t>Суть і завдання статистичного зведення. Особливості зведення матеріалів звітності й спеціально організованого спостереження. Групування як основа наукової обробки даних. Завдання групування та їх значення у статистичному дослідженні. Групувальні ознаки та їх вибір. Типологічні, структурні, аналітичні групування. Прості та комбінаційні групування. Визначення кількості груп та розміру інтервалів групування. Основні правила вибору групувальної ознаки.</w:t>
            </w:r>
          </w:p>
          <w:p>
            <w:pPr>
              <w:tabs>
                <w:tab w:val="left" w:pos="284"/>
                <w:tab w:val="left" w:pos="567"/>
              </w:tabs>
              <w:ind w:firstLine="360"/>
              <w:jc w:val="both"/>
              <w:rPr>
                <w:lang w:val="uk-UA"/>
              </w:rPr>
            </w:pPr>
            <w:r>
              <w:rPr>
                <w:lang w:val="uk-UA"/>
              </w:rPr>
              <w:t>Спеціалізація ознак та інтервалів групування. Метод вторинного групування. Найважливіші групування і класифікації, що застосовуються в статистиці.</w:t>
            </w:r>
          </w:p>
          <w:p>
            <w:pPr>
              <w:tabs>
                <w:tab w:val="left" w:pos="284"/>
                <w:tab w:val="left" w:pos="567"/>
              </w:tabs>
              <w:ind w:firstLine="360"/>
              <w:jc w:val="both"/>
              <w:rPr>
                <w:lang w:val="uk-UA"/>
              </w:rPr>
            </w:pPr>
            <w:r>
              <w:rPr>
                <w:lang w:val="uk-UA"/>
              </w:rPr>
              <w:t>Засоби графічного зображення статистичної інформації. Поняття про статистичний графік та його елементи. Класифікація статистичних графіків.</w:t>
            </w:r>
          </w:p>
          <w:p>
            <w:pPr>
              <w:tabs>
                <w:tab w:val="left" w:pos="284"/>
                <w:tab w:val="left" w:pos="567"/>
              </w:tabs>
              <w:ind w:firstLine="360"/>
              <w:jc w:val="both"/>
              <w:rPr>
                <w:lang w:val="uk-UA"/>
              </w:rPr>
            </w:pPr>
            <w:r>
              <w:rPr>
                <w:lang w:val="uk-UA"/>
              </w:rPr>
              <w:t>Статистичні таблиці, їх види. Правила побудови. Аналіз таблиць. Розробка макетів таблиць.</w:t>
            </w:r>
          </w:p>
          <w:p>
            <w:pPr>
              <w:pStyle w:val="27"/>
              <w:numPr>
                <w:ilvl w:val="0"/>
                <w:numId w:val="1"/>
              </w:numPr>
              <w:tabs>
                <w:tab w:val="right" w:leader="dot" w:pos="9345"/>
              </w:tabs>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Вибіркове спостереження</w:t>
            </w:r>
          </w:p>
          <w:p>
            <w:pPr>
              <w:tabs>
                <w:tab w:val="left" w:pos="284"/>
                <w:tab w:val="left" w:pos="567"/>
              </w:tabs>
              <w:ind w:firstLine="360"/>
              <w:jc w:val="both"/>
              <w:rPr>
                <w:lang w:val="uk-UA"/>
              </w:rPr>
            </w:pPr>
            <w:r>
              <w:rPr>
                <w:lang w:val="uk-UA"/>
              </w:rPr>
              <w:t>Суть і переваги вибіркового спостереження. Генеральна і вибіркова сукупності. Помилки вибіркового спостереження. Обчислення помилок вибірки та визначення меж інтервалу для середньої величини і частки. Середня та гранична помилки вибірки та їх економічний зміст.</w:t>
            </w:r>
          </w:p>
          <w:p>
            <w:pPr>
              <w:tabs>
                <w:tab w:val="left" w:pos="284"/>
                <w:tab w:val="left" w:pos="567"/>
              </w:tabs>
              <w:ind w:firstLine="360"/>
              <w:jc w:val="both"/>
              <w:rPr>
                <w:lang w:val="uk-UA"/>
              </w:rPr>
            </w:pPr>
            <w:r>
              <w:rPr>
                <w:lang w:val="uk-UA"/>
              </w:rPr>
              <w:t>Визначення необхідного обсягу вибірки. Види вибірки і способи відбору, що забезпечують репрезентативність. Власне-випадкова вибірка, механічна, типова, серійна, комбінована вибірки.</w:t>
            </w:r>
          </w:p>
          <w:p>
            <w:pPr>
              <w:tabs>
                <w:tab w:val="left" w:pos="284"/>
                <w:tab w:val="left" w:pos="567"/>
              </w:tabs>
              <w:ind w:firstLine="360"/>
              <w:jc w:val="both"/>
              <w:rPr>
                <w:lang w:val="uk-UA"/>
              </w:rPr>
            </w:pPr>
            <w:r>
              <w:rPr>
                <w:lang w:val="uk-UA"/>
              </w:rPr>
              <w:t>Способи поширення вибіркових даних на генеральну сукупність. Практика застосування вибіркового спостереження в соціально-економічному аналізі.</w:t>
            </w:r>
          </w:p>
          <w:p>
            <w:pPr>
              <w:tabs>
                <w:tab w:val="right" w:leader="dot" w:pos="9345"/>
              </w:tabs>
              <w:rPr>
                <w:b/>
                <w:lang w:val="uk-UA"/>
              </w:rPr>
            </w:pPr>
          </w:p>
          <w:p>
            <w:pPr>
              <w:numPr>
                <w:ilvl w:val="0"/>
                <w:numId w:val="1"/>
              </w:numPr>
              <w:tabs>
                <w:tab w:val="left" w:pos="742"/>
              </w:tabs>
              <w:rPr>
                <w:b/>
                <w:lang w:val="uk-UA" w:eastAsia="ar-SA"/>
              </w:rPr>
            </w:pPr>
            <w:r>
              <w:rPr>
                <w:b/>
                <w:lang w:val="uk-UA" w:eastAsia="ar-SA"/>
              </w:rPr>
              <w:t>Узагальнюючі статистичні показники та загальні принципи їх застосування</w:t>
            </w:r>
          </w:p>
          <w:p>
            <w:pPr>
              <w:tabs>
                <w:tab w:val="left" w:pos="284"/>
                <w:tab w:val="left" w:pos="567"/>
              </w:tabs>
              <w:ind w:firstLine="360"/>
              <w:jc w:val="both"/>
              <w:rPr>
                <w:lang w:val="uk-UA"/>
              </w:rPr>
            </w:pPr>
            <w:r>
              <w:rPr>
                <w:lang w:val="uk-UA"/>
              </w:rPr>
              <w:t>Суть і види узагальнюючих статистичних показників. Принципи побудови узагальнюючих статистичних показників. Огляд основних джерел статистичної інформації та їх загальна характеристика.</w:t>
            </w:r>
          </w:p>
          <w:p>
            <w:pPr>
              <w:tabs>
                <w:tab w:val="left" w:pos="284"/>
                <w:tab w:val="left" w:pos="567"/>
              </w:tabs>
              <w:ind w:firstLine="360"/>
              <w:jc w:val="both"/>
              <w:rPr>
                <w:lang w:val="uk-UA"/>
              </w:rPr>
            </w:pPr>
            <w:r>
              <w:rPr>
                <w:lang w:val="uk-UA"/>
              </w:rPr>
              <w:t>Абсолютні статистичні величини, їх види та одиниці виміру. Відносні величини. Види відносних величин, техніка їх обчислення та форми виразу. Взаємозв’язок між окремими видами відносних величин.</w:t>
            </w:r>
          </w:p>
          <w:p>
            <w:pPr>
              <w:tabs>
                <w:tab w:val="left" w:pos="284"/>
                <w:tab w:val="left" w:pos="567"/>
              </w:tabs>
              <w:ind w:firstLine="360"/>
              <w:jc w:val="both"/>
              <w:rPr>
                <w:lang w:val="uk-UA"/>
              </w:rPr>
            </w:pPr>
            <w:r>
              <w:rPr>
                <w:lang w:val="uk-UA"/>
              </w:rPr>
              <w:t>Суть і умови використання середніх величин. Види середніх величин. Середня арифметична та умови її застосування. Властивості середньої арифметичної та спрощені способи її обчислення. Середня гармонічна і техніка її обчислення. Середня квадратична та умови її застосування. Середня геометрична та середня хронологічна. Умови використання і техніка обчислення.</w:t>
            </w:r>
          </w:p>
          <w:p>
            <w:pPr>
              <w:tabs>
                <w:tab w:val="left" w:pos="284"/>
                <w:tab w:val="left" w:pos="567"/>
              </w:tabs>
              <w:ind w:firstLine="360"/>
              <w:jc w:val="both"/>
              <w:rPr>
                <w:lang w:val="uk-UA"/>
              </w:rPr>
            </w:pPr>
            <w:r>
              <w:rPr>
                <w:lang w:val="uk-UA"/>
              </w:rPr>
              <w:t>Особливості обчислення середніх з відносних величин. Мода і медіана в статистиці. Обчислення моди і медіани в інтервальному ряді розділу.</w:t>
            </w:r>
          </w:p>
          <w:p>
            <w:pPr>
              <w:widowControl w:val="0"/>
              <w:numPr>
                <w:ilvl w:val="0"/>
                <w:numId w:val="1"/>
              </w:numPr>
              <w:tabs>
                <w:tab w:val="left" w:pos="742"/>
                <w:tab w:val="left" w:pos="1574"/>
              </w:tabs>
              <w:autoSpaceDE w:val="0"/>
              <w:autoSpaceDN w:val="0"/>
              <w:rPr>
                <w:b/>
                <w:lang w:val="uk-UA" w:eastAsia="ar-SA"/>
              </w:rPr>
            </w:pPr>
            <w:r>
              <w:rPr>
                <w:b/>
                <w:lang w:val="uk-UA" w:eastAsia="ar-SA"/>
              </w:rPr>
              <w:t>Ряди розподілу та їх аналіз</w:t>
            </w:r>
          </w:p>
          <w:p>
            <w:pPr>
              <w:ind w:firstLine="360"/>
              <w:rPr>
                <w:lang w:val="uk-UA"/>
              </w:rPr>
            </w:pPr>
            <w:r>
              <w:rPr>
                <w:lang w:val="uk-UA"/>
              </w:rPr>
              <w:t>Поняття ряду розподілу та його елементи. Види рядів розподілу. Форми рядів розподілу: симетричні та асиметричні ряди. Основні характеристики  ряду розподілу: середня, мода, медіана, квартилі, децилі.</w:t>
            </w:r>
          </w:p>
          <w:p>
            <w:pPr>
              <w:ind w:firstLine="360"/>
              <w:rPr>
                <w:lang w:val="uk-UA"/>
              </w:rPr>
            </w:pPr>
            <w:r>
              <w:rPr>
                <w:lang w:val="uk-UA"/>
              </w:rPr>
              <w:t>Суть варіації, необхідність її статистичного вивчення. Показники варіації, техніка їх обчислення та економічний зміст. Розмах варіації, середнє лінійне відхилення, середній квадрат відхилення (дисперсія) та середнє квадратичне відхилення, коефіцієнт варіації.</w:t>
            </w:r>
          </w:p>
          <w:p>
            <w:pPr>
              <w:ind w:firstLine="360"/>
              <w:rPr>
                <w:lang w:val="uk-UA"/>
              </w:rPr>
            </w:pPr>
            <w:r>
              <w:rPr>
                <w:lang w:val="uk-UA"/>
              </w:rPr>
              <w:t>Методи обчислення дисперсії.</w:t>
            </w:r>
          </w:p>
          <w:p>
            <w:pPr>
              <w:widowControl w:val="0"/>
              <w:numPr>
                <w:ilvl w:val="0"/>
                <w:numId w:val="1"/>
              </w:numPr>
              <w:tabs>
                <w:tab w:val="left" w:pos="742"/>
                <w:tab w:val="left" w:pos="1746"/>
              </w:tabs>
              <w:autoSpaceDE w:val="0"/>
              <w:autoSpaceDN w:val="0"/>
              <w:rPr>
                <w:b/>
                <w:lang w:val="uk-UA" w:eastAsia="ar-SA"/>
              </w:rPr>
            </w:pPr>
            <w:r>
              <w:rPr>
                <w:b/>
                <w:lang w:val="uk-UA" w:eastAsia="ar-SA"/>
              </w:rPr>
              <w:t>Статистичні методи вимірювання взаємозв’язків</w:t>
            </w:r>
          </w:p>
          <w:p>
            <w:pPr>
              <w:ind w:firstLine="360"/>
              <w:rPr>
                <w:lang w:val="uk-UA"/>
              </w:rPr>
            </w:pPr>
            <w:r>
              <w:rPr>
                <w:lang w:val="uk-UA"/>
              </w:rPr>
              <w:t>Взаємозв’язок показників і виявлення залежностей між ними. Непараметричні методи зв’язку. Кореляційно-регресійні методи. Прямі і обернені, прямолінійні і криволінійні зв’язки. Рівняння регресії як форма аналітичного виразу статистичного зв’язку соціально-економічних явищ. Лінійна, степенева й показникова функції, гіпербола, парабола.</w:t>
            </w:r>
          </w:p>
          <w:p>
            <w:pPr>
              <w:ind w:firstLine="360"/>
              <w:rPr>
                <w:lang w:val="uk-UA"/>
              </w:rPr>
            </w:pPr>
            <w:r>
              <w:rPr>
                <w:lang w:val="uk-UA"/>
              </w:rPr>
              <w:t>Обчислення параметрів рівняння регресії. Визначення щільності зв’язку між показниками. Лінійний коефіцієнт кореляції. Коефіцієнт детермінації, індекс кореляції.</w:t>
            </w:r>
          </w:p>
          <w:p>
            <w:pPr>
              <w:ind w:firstLine="360"/>
              <w:rPr>
                <w:lang w:val="uk-UA"/>
              </w:rPr>
            </w:pPr>
            <w:r>
              <w:rPr>
                <w:lang w:val="uk-UA"/>
              </w:rPr>
              <w:t>Множинна і часткова кореляції, критерії істотності зв’язку між факторами.</w:t>
            </w:r>
          </w:p>
          <w:p>
            <w:pPr>
              <w:widowControl w:val="0"/>
              <w:numPr>
                <w:ilvl w:val="0"/>
                <w:numId w:val="1"/>
              </w:numPr>
              <w:tabs>
                <w:tab w:val="left" w:pos="742"/>
                <w:tab w:val="left" w:pos="1746"/>
              </w:tabs>
              <w:autoSpaceDE w:val="0"/>
              <w:autoSpaceDN w:val="0"/>
              <w:rPr>
                <w:b/>
                <w:lang w:val="uk-UA" w:eastAsia="ar-SA"/>
              </w:rPr>
            </w:pPr>
            <w:r>
              <w:rPr>
                <w:b/>
                <w:lang w:val="uk-UA" w:eastAsia="ar-SA"/>
              </w:rPr>
              <w:t>Аналіз тенденцій розвитку.</w:t>
            </w:r>
          </w:p>
          <w:p>
            <w:pPr>
              <w:tabs>
                <w:tab w:val="left" w:pos="284"/>
                <w:tab w:val="left" w:pos="567"/>
              </w:tabs>
              <w:ind w:firstLine="360"/>
              <w:jc w:val="both"/>
              <w:rPr>
                <w:lang w:val="uk-UA"/>
              </w:rPr>
            </w:pPr>
            <w:r>
              <w:rPr>
                <w:lang w:val="uk-UA"/>
              </w:rPr>
              <w:t>Динамічний ряд як база аналізу й прогнозування соціально-економічного розвитку. Види рядів динаміки. Статистичні характеристики динамічних рядів і їх взаємозв’язок: абсолютний приріст, темпи зростання, темпи приросту, абсолютне значення одного відсотка приросту.</w:t>
            </w:r>
          </w:p>
          <w:p>
            <w:pPr>
              <w:tabs>
                <w:tab w:val="left" w:pos="284"/>
                <w:tab w:val="left" w:pos="567"/>
              </w:tabs>
              <w:ind w:firstLine="360"/>
              <w:jc w:val="both"/>
              <w:rPr>
                <w:lang w:val="uk-UA"/>
              </w:rPr>
            </w:pPr>
            <w:r>
              <w:rPr>
                <w:lang w:val="uk-UA"/>
              </w:rPr>
              <w:t>Методи обчислення середнього рівня динамічного ряду. Економічна суть та техніка розрахунку середніх значень основних характеристик рядів динаміки.</w:t>
            </w:r>
          </w:p>
          <w:p>
            <w:pPr>
              <w:tabs>
                <w:tab w:val="left" w:pos="284"/>
                <w:tab w:val="left" w:pos="567"/>
              </w:tabs>
              <w:ind w:firstLine="360"/>
              <w:jc w:val="both"/>
              <w:rPr>
                <w:lang w:val="uk-UA"/>
              </w:rPr>
            </w:pPr>
            <w:r>
              <w:rPr>
                <w:lang w:val="uk-UA"/>
              </w:rPr>
              <w:t>Способи обробки рядів динаміки з метою виявлення основної тенденції розвитку: укрупнення інтервалів, спосіб рухомих середніх, приведення рядів до однієї основи, змикання рядів динаміки, вимірювання сезонних коливань.</w:t>
            </w:r>
          </w:p>
          <w:p>
            <w:pPr>
              <w:tabs>
                <w:tab w:val="left" w:pos="284"/>
                <w:tab w:val="left" w:pos="567"/>
              </w:tabs>
              <w:ind w:firstLine="360"/>
              <w:jc w:val="both"/>
              <w:rPr>
                <w:lang w:val="uk-UA"/>
              </w:rPr>
            </w:pPr>
            <w:r>
              <w:rPr>
                <w:lang w:val="uk-UA"/>
              </w:rPr>
              <w:t>Прогнозування на основі рядів динаміки. Інтерполяція та екстраполяція в статистиці, аналітичне вирівнювання.</w:t>
            </w:r>
          </w:p>
          <w:p>
            <w:pPr>
              <w:widowControl w:val="0"/>
              <w:numPr>
                <w:ilvl w:val="0"/>
                <w:numId w:val="1"/>
              </w:numPr>
              <w:tabs>
                <w:tab w:val="left" w:pos="742"/>
                <w:tab w:val="left" w:pos="1746"/>
              </w:tabs>
              <w:autoSpaceDE w:val="0"/>
              <w:autoSpaceDN w:val="0"/>
              <w:rPr>
                <w:b/>
                <w:lang w:val="uk-UA" w:eastAsia="ar-SA"/>
              </w:rPr>
            </w:pPr>
            <w:r>
              <w:rPr>
                <w:b/>
                <w:lang w:val="uk-UA" w:eastAsia="ar-SA"/>
              </w:rPr>
              <w:t>Індексний метод аналізу</w:t>
            </w:r>
          </w:p>
          <w:p>
            <w:pPr>
              <w:ind w:firstLine="360"/>
              <w:jc w:val="both"/>
              <w:rPr>
                <w:lang w:val="uk-UA"/>
              </w:rPr>
            </w:pPr>
            <w:r>
              <w:rPr>
                <w:lang w:val="uk-UA"/>
              </w:rPr>
              <w:t>Суть індексів та їх роль у статистико-економічному аналізі. Класифікація індексів. Методологічні принципи побудови індексів. Базисні і ланцюгові індекси.</w:t>
            </w:r>
          </w:p>
          <w:p>
            <w:pPr>
              <w:ind w:firstLine="360"/>
              <w:jc w:val="both"/>
              <w:rPr>
                <w:lang w:val="uk-UA"/>
              </w:rPr>
            </w:pPr>
            <w:r>
              <w:rPr>
                <w:lang w:val="uk-UA"/>
              </w:rPr>
              <w:t>Індекси агрегатної форми. Індекс товарообороту, цін та фізичного обсягу товарообороту. Економічний зміст індексів. Система взаємопоєднаних індексів і визначення впливів окремих факторів.</w:t>
            </w:r>
          </w:p>
          <w:p>
            <w:pPr>
              <w:ind w:firstLine="360"/>
              <w:jc w:val="both"/>
              <w:rPr>
                <w:lang w:val="uk-UA"/>
              </w:rPr>
            </w:pPr>
            <w:r>
              <w:rPr>
                <w:lang w:val="uk-UA"/>
              </w:rPr>
              <w:t>Індекси із змінними і постійними вагами. Середньозважені індекси. Розкладання загального абсолютного приросту за факторами.</w:t>
            </w:r>
          </w:p>
          <w:p>
            <w:pPr>
              <w:ind w:firstLine="360"/>
              <w:jc w:val="both"/>
              <w:rPr>
                <w:lang w:val="uk-UA"/>
              </w:rPr>
            </w:pPr>
            <w:r>
              <w:rPr>
                <w:lang w:val="uk-UA"/>
              </w:rPr>
              <w:t>Аналіз динаміки середнього рівня інтенсивного показника. Індекси структурних зрушень.</w:t>
            </w:r>
          </w:p>
          <w:p>
            <w:pPr>
              <w:ind w:firstLine="360"/>
              <w:jc w:val="both"/>
              <w:rPr>
                <w:lang w:val="uk-UA"/>
              </w:rPr>
            </w:pPr>
            <w:r>
              <w:rPr>
                <w:lang w:val="uk-UA"/>
              </w:rPr>
              <w:t xml:space="preserve">Індекси Фішера, Ласпейреса і Пааше. Індекс споживчих цін. </w:t>
            </w:r>
          </w:p>
          <w:p>
            <w:pPr>
              <w:rPr>
                <w:b/>
                <w:lang w:val="uk-UA" w:eastAsia="ar-SA"/>
              </w:rPr>
            </w:pPr>
            <w:r>
              <w:rPr>
                <w:b/>
                <w:lang w:val="uk-UA" w:eastAsia="ar-SA"/>
              </w:rPr>
              <w:t>Практичне:</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Визначення елементів статистичного спостереження.</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Методика здійснення групування статистичних даних. Правила побудови статистичних таблиць.</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Побудова рядів розподілу та їх наочних зображень.</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Обчислення статистичних показників.</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Методика розрахунку характеристик форми розподілу.</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Обчислення похибок вибіркових сукупностей.</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Порівняння рядів розподілу, використання критеріїв згоди.</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Метод аналітичного групування і дисперсійний аналіз.</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Кореляційно-регресійний аналіз.</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Обчислення показників рядів динаміки.</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Способи обробки рядів динаміки.</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Статистичне вивчення сезонності.</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Обчислення індивідуальних та зведених індексів.</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Знаходження індексів середніх величин.</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Особливості використання індексного методу.</w:t>
            </w:r>
          </w:p>
          <w:p>
            <w:pPr>
              <w:pStyle w:val="27"/>
              <w:numPr>
                <w:ilvl w:val="0"/>
                <w:numId w:val="2"/>
              </w:numPr>
              <w:tabs>
                <w:tab w:val="left" w:pos="284"/>
                <w:tab w:val="left" w:pos="567"/>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Залікове заняття.</w:t>
            </w:r>
          </w:p>
          <w:p>
            <w:pPr>
              <w:rPr>
                <w:lang w:val="uk-UA" w:eastAsia="ar-SA"/>
              </w:rPr>
            </w:pPr>
            <w:r>
              <w:rPr>
                <w:b/>
                <w:lang w:val="uk-UA" w:eastAsia="ar-SA"/>
              </w:rPr>
              <w:t>Самостійна робота студента</w:t>
            </w:r>
            <w:r>
              <w:rPr>
                <w:lang w:val="uk-UA" w:eastAsia="ar-SA"/>
              </w:rPr>
              <w:t xml:space="preserve">: </w:t>
            </w:r>
          </w:p>
          <w:p>
            <w:pPr>
              <w:pStyle w:val="27"/>
              <w:numPr>
                <w:ilvl w:val="0"/>
                <w:numId w:val="3"/>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Основні види дискретних розподілів та їх числові характеристики.</w:t>
            </w:r>
          </w:p>
          <w:p>
            <w:pPr>
              <w:pStyle w:val="27"/>
              <w:numPr>
                <w:ilvl w:val="0"/>
                <w:numId w:val="3"/>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Основні види неперервних розподілів та їх числові характеристики.</w:t>
            </w:r>
          </w:p>
          <w:p>
            <w:pPr>
              <w:pStyle w:val="27"/>
              <w:numPr>
                <w:ilvl w:val="0"/>
                <w:numId w:val="3"/>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Точкові оцінки вибіркової середньої та вибіркової дисперсії.</w:t>
            </w:r>
          </w:p>
          <w:p>
            <w:pPr>
              <w:pStyle w:val="27"/>
              <w:numPr>
                <w:ilvl w:val="0"/>
                <w:numId w:val="3"/>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Перевірка статистичних гіпотез. Основні критерії та їх порівняльний аналіз.</w:t>
            </w:r>
          </w:p>
          <w:p>
            <w:pPr>
              <w:pStyle w:val="27"/>
              <w:numPr>
                <w:ilvl w:val="0"/>
                <w:numId w:val="3"/>
              </w:numPr>
              <w:spacing w:after="0"/>
              <w:rPr>
                <w:rFonts w:ascii="Times New Roman" w:hAnsi="Times New Roman" w:cs="Times New Roman"/>
                <w:sz w:val="20"/>
                <w:szCs w:val="20"/>
                <w:lang w:val="uk-UA"/>
              </w:rPr>
            </w:pPr>
            <w:r>
              <w:rPr>
                <w:rFonts w:ascii="Times New Roman" w:hAnsi="Times New Roman" w:cs="Times New Roman"/>
                <w:sz w:val="20"/>
                <w:szCs w:val="20"/>
                <w:lang w:val="uk-UA"/>
              </w:rPr>
              <w:t>Підготовка до контрольної роботи.</w:t>
            </w:r>
          </w:p>
          <w:p>
            <w:pPr>
              <w:pStyle w:val="27"/>
              <w:numPr>
                <w:ilvl w:val="0"/>
                <w:numId w:val="3"/>
              </w:numPr>
              <w:spacing w:after="0"/>
              <w:rPr>
                <w:rFonts w:ascii="Times New Roman" w:hAnsi="Times New Roman" w:cs="Times New Roman"/>
                <w:sz w:val="20"/>
                <w:szCs w:val="20"/>
                <w:lang w:val="uk-UA"/>
              </w:rPr>
            </w:pPr>
            <w:r>
              <w:rPr>
                <w:rFonts w:ascii="Times New Roman" w:hAnsi="Times New Roman" w:cs="Times New Roman"/>
                <w:sz w:val="20"/>
                <w:szCs w:val="20"/>
                <w:lang w:val="uk-UA"/>
              </w:rPr>
              <w:t>Підготовка до лекцій.</w:t>
            </w:r>
          </w:p>
          <w:p>
            <w:pPr>
              <w:pStyle w:val="27"/>
              <w:numPr>
                <w:ilvl w:val="0"/>
                <w:numId w:val="3"/>
              </w:numPr>
              <w:spacing w:after="0"/>
              <w:rPr>
                <w:rFonts w:ascii="Times New Roman" w:hAnsi="Times New Roman" w:cs="Times New Roman"/>
                <w:sz w:val="20"/>
                <w:szCs w:val="20"/>
                <w:lang w:val="uk-UA"/>
              </w:rPr>
            </w:pPr>
            <w:r>
              <w:rPr>
                <w:rFonts w:ascii="Times New Roman" w:hAnsi="Times New Roman" w:cs="Times New Roman"/>
                <w:sz w:val="20"/>
                <w:szCs w:val="20"/>
                <w:lang w:val="uk-UA"/>
              </w:rPr>
              <w:t>Підготовка до заліку.</w:t>
            </w:r>
          </w:p>
          <w:p>
            <w:pPr>
              <w:rPr>
                <w:b/>
                <w:lang w:val="uk-UA"/>
              </w:rPr>
            </w:pPr>
            <w:r>
              <w:rPr>
                <w:b/>
                <w:lang w:val="uk-UA"/>
              </w:rPr>
              <w:t>Контрольна робота</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Зведення і групування статистичних даних.</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Обчислення статистичних показників.</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Вимірювання взаємозв`язків між явищами методами аналітичного групування і дисперсійного аналізу.</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Визначення тісноти зв</w:t>
            </w:r>
            <w:r>
              <w:rPr>
                <w:rFonts w:ascii="Times New Roman" w:hAnsi="Times New Roman" w:cs="Times New Roman"/>
                <w:sz w:val="20"/>
                <w:szCs w:val="20"/>
              </w:rPr>
              <w:t>`язку м</w:t>
            </w:r>
            <w:r>
              <w:rPr>
                <w:rFonts w:ascii="Times New Roman" w:hAnsi="Times New Roman" w:cs="Times New Roman"/>
                <w:sz w:val="20"/>
                <w:szCs w:val="20"/>
                <w:lang w:val="uk-UA"/>
              </w:rPr>
              <w:t>іж явищами в кореляційно-регресійному аналізі.</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Обчислення показників динаміки.</w:t>
            </w:r>
          </w:p>
          <w:p>
            <w:pPr>
              <w:pStyle w:val="27"/>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Статистичне вивчення сезонності.</w:t>
            </w:r>
          </w:p>
          <w:p>
            <w:pPr>
              <w:pStyle w:val="27"/>
              <w:numPr>
                <w:ilvl w:val="0"/>
                <w:numId w:val="4"/>
              </w:numPr>
              <w:spacing w:after="0" w:line="240" w:lineRule="auto"/>
              <w:rPr>
                <w:rFonts w:ascii="Times New Roman" w:hAnsi="Times New Roman" w:cs="Times New Roman"/>
                <w:lang w:val="uk-UA"/>
              </w:rPr>
            </w:pPr>
            <w:r>
              <w:rPr>
                <w:rFonts w:ascii="Times New Roman" w:hAnsi="Times New Roman" w:cs="Times New Roman"/>
                <w:sz w:val="20"/>
                <w:szCs w:val="20"/>
                <w:lang w:val="uk-UA"/>
              </w:rPr>
              <w:t>Знаходження індивідуальних та зведених індексів. Факторний індексний аналіз.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693"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lang w:val="ru-RU"/>
              </w:rPr>
            </w:pPr>
            <w:r>
              <w:rPr>
                <w:b/>
                <w:lang w:val="ru-RU"/>
              </w:rPr>
              <w:t>18) Основна література:</w:t>
            </w:r>
          </w:p>
          <w:p>
            <w:pPr>
              <w:numPr>
                <w:numId w:val="0"/>
              </w:numPr>
              <w:shd w:val="clear" w:color="auto" w:fill="FFFFFF"/>
              <w:ind w:left="360" w:leftChars="0"/>
              <w:rPr>
                <w:rFonts w:ascii="Times New Roman" w:hAnsi="Times New Roman"/>
                <w:b/>
                <w:bCs/>
                <w:spacing w:val="-6"/>
                <w:lang w:val="uk-UA"/>
              </w:rPr>
            </w:pPr>
            <w:r>
              <w:rPr>
                <w:rFonts w:hint="default"/>
                <w:b w:val="0"/>
                <w:bCs w:val="0"/>
                <w:spacing w:val="-6"/>
                <w:lang w:val="uk-UA"/>
              </w:rPr>
              <w:t xml:space="preserve">1. </w:t>
            </w:r>
            <w:r>
              <w:rPr>
                <w:rFonts w:hint="default" w:ascii="Times New Roman" w:hAnsi="Times New Roman"/>
                <w:b w:val="0"/>
                <w:bCs w:val="0"/>
                <w:spacing w:val="-6"/>
                <w:lang w:val="ru-RU"/>
              </w:rPr>
              <w:t>Теор</w:t>
            </w:r>
            <w:r>
              <w:rPr>
                <w:rFonts w:hint="default" w:ascii="Times New Roman" w:hAnsi="Times New Roman"/>
                <w:b w:val="0"/>
                <w:bCs w:val="0"/>
                <w:spacing w:val="-6"/>
                <w:lang w:val="uk-UA"/>
              </w:rPr>
              <w:t>і</w:t>
            </w:r>
            <w:r>
              <w:rPr>
                <w:rFonts w:hint="default" w:ascii="Times New Roman" w:hAnsi="Times New Roman"/>
                <w:b w:val="0"/>
                <w:bCs w:val="0"/>
                <w:spacing w:val="-6"/>
                <w:lang w:val="ru-RU"/>
              </w:rPr>
              <w:t>я статистики</w:t>
            </w:r>
            <w:r>
              <w:rPr>
                <w:rFonts w:hint="default" w:ascii="Times New Roman" w:hAnsi="Times New Roman"/>
                <w:b w:val="0"/>
                <w:bCs w:val="0"/>
                <w:spacing w:val="-6"/>
                <w:lang w:val="uk-UA"/>
              </w:rPr>
              <w:t>: підручник / О.І. Кулинич, Р.О. Кулинич. - К. : Знання, 2016. - 294 с.</w:t>
            </w:r>
          </w:p>
          <w:p>
            <w:pPr>
              <w:numPr>
                <w:numId w:val="0"/>
              </w:numPr>
              <w:shd w:val="clear" w:color="auto" w:fill="FFFFFF"/>
              <w:ind w:left="360" w:leftChars="0"/>
              <w:jc w:val="both"/>
              <w:rPr>
                <w:lang w:val="uk-UA"/>
              </w:rPr>
            </w:pPr>
            <w:r>
              <w:rPr>
                <w:rFonts w:hint="default"/>
                <w:b w:val="0"/>
                <w:bCs w:val="0"/>
                <w:spacing w:val="-6"/>
                <w:lang w:val="uk-UA"/>
              </w:rPr>
              <w:t>2</w:t>
            </w:r>
            <w:r>
              <w:rPr>
                <w:rFonts w:hint="default" w:ascii="Times New Roman" w:hAnsi="Times New Roman"/>
                <w:b w:val="0"/>
                <w:bCs w:val="0"/>
                <w:spacing w:val="-6"/>
                <w:lang w:val="uk-UA"/>
              </w:rPr>
              <w:t>.</w:t>
            </w:r>
            <w:r>
              <w:rPr>
                <w:rFonts w:hint="default" w:ascii="Times New Roman" w:hAnsi="Times New Roman"/>
                <w:b/>
                <w:bCs/>
                <w:spacing w:val="-6"/>
                <w:lang w:val="uk-UA"/>
              </w:rPr>
              <w:t xml:space="preserve"> </w:t>
            </w:r>
            <w:r>
              <w:rPr>
                <w:lang w:val="uk-UA"/>
              </w:rPr>
              <w:t>Статистика: Навч. посіб. для студ. вищ. навч. закл. усіх рівнів акредит. – 3-тє вид., оновлене і доповнене/ М.В. Щурик, А.В. Ключенко. – Івано-Франківськ: НАІР, 2016. – 274 с.</w:t>
            </w:r>
          </w:p>
          <w:p>
            <w:pPr>
              <w:numPr>
                <w:numId w:val="0"/>
              </w:numPr>
              <w:shd w:val="clear" w:color="auto" w:fill="FFFFFF"/>
              <w:ind w:left="360" w:leftChars="0"/>
              <w:jc w:val="both"/>
              <w:rPr>
                <w:rFonts w:ascii="Times New Roman" w:hAnsi="Times New Roman"/>
                <w:b/>
                <w:bCs/>
                <w:spacing w:val="-6"/>
                <w:lang w:val="uk-UA"/>
              </w:rPr>
            </w:pPr>
            <w:r>
              <w:rPr>
                <w:rFonts w:hint="default"/>
                <w:lang w:val="uk-UA"/>
              </w:rPr>
              <w:t xml:space="preserve">3. </w:t>
            </w:r>
            <w:r>
              <w:rPr>
                <w:lang w:val="uk-UA"/>
              </w:rPr>
              <w:t xml:space="preserve">Педченко Г. П. Статистика: Навчальний посібник / Г. П. Педченко. — </w:t>
            </w:r>
            <w:r>
              <w:rPr>
                <w:lang w:val="uk-UA"/>
              </w:rPr>
              <w:br w:type="textWrapping"/>
            </w:r>
            <w:r>
              <w:rPr>
                <w:lang w:val="uk-UA"/>
              </w:rPr>
              <w:t>Мелітополь: Колор Принт, 2018. — 266 с. — ISBN 978-966-2489-67-5.</w:t>
            </w:r>
          </w:p>
          <w:p>
            <w:pPr>
              <w:numPr>
                <w:numId w:val="0"/>
              </w:numPr>
              <w:shd w:val="clear" w:color="auto" w:fill="FFFFFF"/>
              <w:ind w:left="360" w:leftChars="0"/>
              <w:rPr>
                <w:lang w:val="uk-UA"/>
              </w:rPr>
            </w:pPr>
            <w:r>
              <w:rPr>
                <w:rFonts w:hint="default"/>
                <w:lang w:val="uk-UA"/>
              </w:rPr>
              <w:t>4.</w:t>
            </w:r>
            <w:r>
              <w:rPr>
                <w:lang w:val="uk-UA"/>
              </w:rPr>
              <w:t xml:space="preserve">Статистика: Конспект лекцій/ Н.Д. Федоренко, О.В. Доля, С.В. Білощицька та ін. – К.: КНУБА, 2010. – 56 с. </w:t>
            </w:r>
          </w:p>
          <w:p>
            <w:pPr>
              <w:numPr>
                <w:numId w:val="0"/>
              </w:numPr>
              <w:shd w:val="clear" w:color="auto" w:fill="FFFFFF"/>
              <w:ind w:left="360" w:leftChars="0"/>
              <w:jc w:val="both"/>
              <w:rPr>
                <w:lang w:val="uk-UA"/>
              </w:rPr>
            </w:pPr>
            <w:r>
              <w:rPr>
                <w:rFonts w:hint="default"/>
                <w:lang w:val="uk-UA"/>
              </w:rPr>
              <w:t>5.</w:t>
            </w:r>
            <w:r>
              <w:rPr>
                <w:lang w:val="uk-UA"/>
              </w:rPr>
              <w:t xml:space="preserve">Статистика: Практикум до лабораторних робіт, самостійного розв’язування задач та індивідуальних робіт/ Н.Д. Федоренко, О.В. Доля, А.О. Білощицький та ін. – К.: КНУБА, 2009. – 60 с. </w:t>
            </w:r>
          </w:p>
          <w:p>
            <w:pPr>
              <w:numPr>
                <w:numId w:val="0"/>
              </w:numPr>
              <w:shd w:val="clear" w:color="auto" w:fill="FFFFFF"/>
              <w:ind w:left="360" w:leftChars="0"/>
              <w:jc w:val="both"/>
              <w:rPr>
                <w:lang w:val="uk-UA"/>
              </w:rPr>
            </w:pPr>
            <w:r>
              <w:rPr>
                <w:rFonts w:hint="default"/>
                <w:lang w:val="uk-UA"/>
              </w:rPr>
              <w:t>6</w:t>
            </w:r>
            <w:bookmarkStart w:id="0" w:name="_GoBack"/>
            <w:bookmarkEnd w:id="0"/>
            <w:r>
              <w:rPr>
                <w:lang w:val="uk-UA"/>
              </w:rPr>
              <w:t xml:space="preserve">. Статистика: Методичні вказівки до виконання лабораторних робіт/ Н.Д. Федоренко, О.І. Баліна та ін. – К.: КНУБА, 2005. – 48 с. </w:t>
            </w:r>
          </w:p>
          <w:p>
            <w:pPr>
              <w:shd w:val="clear" w:color="auto" w:fill="FFFFFF"/>
              <w:tabs>
                <w:tab w:val="left" w:pos="284"/>
              </w:tabs>
              <w:ind w:left="118" w:firstLine="24"/>
              <w:jc w:val="both"/>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sz w:val="19"/>
                <w:szCs w:val="19"/>
                <w:lang w:val="uk-UA"/>
              </w:rPr>
            </w:pPr>
            <w:r>
              <w:rPr>
                <w:b/>
              </w:rPr>
              <w:t xml:space="preserve">19) </w:t>
            </w:r>
            <w:r>
              <w:rPr>
                <w:b/>
                <w:sz w:val="19"/>
                <w:szCs w:val="19"/>
              </w:rPr>
              <w:t>Додатков</w:t>
            </w:r>
            <w:r>
              <w:rPr>
                <w:b/>
                <w:sz w:val="19"/>
                <w:szCs w:val="19"/>
                <w:lang w:val="uk-UA"/>
              </w:rPr>
              <w:t>і</w:t>
            </w:r>
            <w:r>
              <w:rPr>
                <w:b/>
                <w:sz w:val="19"/>
                <w:szCs w:val="19"/>
              </w:rPr>
              <w:t xml:space="preserve"> </w:t>
            </w:r>
            <w:r>
              <w:rPr>
                <w:b/>
                <w:sz w:val="19"/>
                <w:szCs w:val="19"/>
                <w:lang w:val="uk-UA"/>
              </w:rPr>
              <w:t>джерела</w:t>
            </w:r>
            <w:r>
              <w:rPr>
                <w:b/>
                <w:sz w:val="19"/>
                <w:szCs w:val="19"/>
              </w:rPr>
              <w:t>:</w:t>
            </w:r>
          </w:p>
          <w:p>
            <w:pPr>
              <w:pStyle w:val="27"/>
              <w:numPr>
                <w:ilvl w:val="0"/>
                <w:numId w:val="5"/>
              </w:numPr>
              <w:shd w:val="clear" w:color="auto" w:fill="FFFFFF"/>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Теорія статистики: Практикум: Навчальний посібник/ І.І. Попов. – К.: КНТЕУ, 2006. – 290 с.</w:t>
            </w:r>
          </w:p>
          <w:p>
            <w:pPr>
              <w:pStyle w:val="27"/>
              <w:numPr>
                <w:ilvl w:val="0"/>
                <w:numId w:val="5"/>
              </w:numPr>
              <w:shd w:val="clear" w:color="auto" w:fill="FFFFFF"/>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Практикум з теорії статистики: Навчальний посібник/ А.Т. Мармоза. – К.: Ельга-Ніка Центр, 2003. – 344 с.</w:t>
            </w:r>
          </w:p>
          <w:p>
            <w:pPr>
              <w:pStyle w:val="27"/>
              <w:numPr>
                <w:ilvl w:val="0"/>
                <w:numId w:val="5"/>
              </w:numPr>
              <w:shd w:val="clear" w:color="auto" w:fill="FFFFFF"/>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Теорія статистики: практикум/ А. М. Єріна, З.О. Пальян. – К.: Знання, 2004. - 25с.</w:t>
            </w:r>
          </w:p>
          <w:p>
            <w:pPr>
              <w:pStyle w:val="27"/>
              <w:numPr>
                <w:ilvl w:val="0"/>
                <w:numId w:val="5"/>
              </w:numPr>
              <w:shd w:val="clear" w:color="auto" w:fill="FFFFFF"/>
              <w:tabs>
                <w:tab w:val="left" w:pos="187"/>
              </w:tabs>
              <w:spacing w:after="0" w:line="240" w:lineRule="auto"/>
              <w:jc w:val="both"/>
              <w:rPr>
                <w:rFonts w:ascii="Times New Roman" w:hAnsi="Times New Roman" w:cs="Times New Roman"/>
                <w:sz w:val="20"/>
                <w:szCs w:val="20"/>
                <w:lang w:val="uk-UA"/>
              </w:rPr>
            </w:pPr>
            <w:r>
              <w:fldChar w:fldCharType="begin"/>
            </w:r>
            <w:r>
              <w:instrText xml:space="preserve"> HYPERLINK "http://library.knuba.edu.ua/" </w:instrText>
            </w:r>
            <w:r>
              <w:fldChar w:fldCharType="separate"/>
            </w:r>
            <w:r>
              <w:rPr>
                <w:rStyle w:val="6"/>
                <w:rFonts w:ascii="Times New Roman" w:hAnsi="Times New Roman" w:cs="Times New Roman"/>
                <w:sz w:val="20"/>
                <w:szCs w:val="20"/>
                <w:lang w:val="uk-UA"/>
              </w:rPr>
              <w:t>http://library.knuba.edu.ua/</w:t>
            </w:r>
            <w:r>
              <w:rPr>
                <w:rStyle w:val="6"/>
                <w:rFonts w:ascii="Times New Roman" w:hAnsi="Times New Roman" w:cs="Times New Roman"/>
                <w:sz w:val="20"/>
                <w:szCs w:val="20"/>
                <w:lang w:val="uk-UA"/>
              </w:rPr>
              <w:fldChar w:fldCharType="end"/>
            </w:r>
          </w:p>
          <w:p>
            <w:pPr>
              <w:pStyle w:val="27"/>
              <w:numPr>
                <w:ilvl w:val="0"/>
                <w:numId w:val="5"/>
              </w:numPr>
              <w:shd w:val="clear" w:color="auto" w:fill="FFFFFF"/>
              <w:spacing w:after="0" w:line="240" w:lineRule="auto"/>
              <w:jc w:val="both"/>
              <w:rPr>
                <w:rStyle w:val="6"/>
                <w:color w:val="auto"/>
                <w:u w:val="none"/>
                <w:lang w:val="uk-UA"/>
              </w:rPr>
            </w:pPr>
            <w:r>
              <w:fldChar w:fldCharType="begin"/>
            </w:r>
            <w:r>
              <w:instrText xml:space="preserve"> HYPERLINK "http://repositary.knuba.edu.ua/" </w:instrText>
            </w:r>
            <w:r>
              <w:fldChar w:fldCharType="separate"/>
            </w:r>
            <w:r>
              <w:rPr>
                <w:rStyle w:val="6"/>
                <w:rFonts w:ascii="Times New Roman" w:hAnsi="Times New Roman" w:cs="Times New Roman"/>
                <w:sz w:val="20"/>
                <w:szCs w:val="20"/>
                <w:lang w:val="uk-UA"/>
              </w:rPr>
              <w:t>http://repositary.knuba.edu.ua/</w:t>
            </w:r>
            <w:r>
              <w:rPr>
                <w:rStyle w:val="6"/>
                <w:rFonts w:ascii="Times New Roman" w:hAnsi="Times New Roman" w:cs="Times New Roman"/>
                <w:sz w:val="20"/>
                <w:szCs w:val="20"/>
                <w:lang w:val="uk-UA"/>
              </w:rPr>
              <w:fldChar w:fldCharType="end"/>
            </w:r>
          </w:p>
          <w:p>
            <w:pPr>
              <w:pStyle w:val="27"/>
              <w:numPr>
                <w:ilvl w:val="0"/>
                <w:numId w:val="5"/>
              </w:numPr>
              <w:shd w:val="clear" w:color="auto" w:fill="FFFFFF"/>
              <w:spacing w:after="0" w:line="240" w:lineRule="auto"/>
              <w:jc w:val="both"/>
              <w:rPr>
                <w:rFonts w:ascii="Times New Roman" w:hAnsi="Times New Roman" w:cs="Times New Roman"/>
                <w:sz w:val="20"/>
                <w:szCs w:val="20"/>
                <w:lang w:val="uk-UA"/>
              </w:rPr>
            </w:pPr>
            <w:r>
              <w:fldChar w:fldCharType="begin"/>
            </w:r>
            <w:r>
              <w:instrText xml:space="preserve"> HYPERLINK "http://org2.knuba.edu.ua/course/view.php?id=176" </w:instrText>
            </w:r>
            <w:r>
              <w:fldChar w:fldCharType="separate"/>
            </w:r>
            <w:r>
              <w:rPr>
                <w:rStyle w:val="6"/>
                <w:rFonts w:ascii="Times New Roman" w:hAnsi="Times New Roman" w:cs="Times New Roman"/>
                <w:sz w:val="20"/>
                <w:szCs w:val="20"/>
                <w:lang w:val="uk-UA"/>
              </w:rPr>
              <w:t>http://org2.knuba.edu.ua/course/view.php?id=176</w:t>
            </w:r>
            <w:r>
              <w:rPr>
                <w:rStyle w:val="6"/>
                <w:rFonts w:ascii="Times New Roman" w:hAnsi="Times New Roman" w:cs="Times New Roman"/>
                <w:sz w:val="20"/>
                <w:szCs w:val="20"/>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spacing w:before="40" w:after="40"/>
              <w:ind w:left="360" w:hanging="360"/>
              <w:rPr>
                <w:b/>
                <w:bCs/>
                <w:lang w:val="uk-UA"/>
              </w:rPr>
            </w:pPr>
            <w:r>
              <w:rPr>
                <w:b/>
                <w:bCs/>
                <w:sz w:val="19"/>
                <w:szCs w:val="19"/>
                <w:lang w:val="uk-UA"/>
              </w:rPr>
              <w:t xml:space="preserve">20) </w:t>
            </w:r>
            <w:r>
              <w:rPr>
                <w:b/>
                <w:bCs/>
                <w:lang w:val="uk-UA"/>
              </w:rPr>
              <w:t>Система оцінювання навчальних досягнень (розподілів балів)</w:t>
            </w:r>
          </w:p>
          <w:tbl>
            <w:tblPr>
              <w:tblStyle w:val="3"/>
              <w:tblW w:w="942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15"/>
              <w:gridCol w:w="1134"/>
              <w:gridCol w:w="1276"/>
              <w:gridCol w:w="1134"/>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5" w:type="dxa"/>
                  <w:gridSpan w:val="6"/>
                  <w:shd w:val="clear" w:color="auto" w:fill="auto"/>
                </w:tcPr>
                <w:p>
                  <w:pPr>
                    <w:jc w:val="center"/>
                    <w:rPr>
                      <w:lang w:val="uk-UA"/>
                    </w:rPr>
                  </w:pPr>
                  <w:r>
                    <w:rPr>
                      <w:lang w:val="uk-UA"/>
                    </w:rPr>
                    <w:t>Поточне оцінювання та самостійна робота</w:t>
                  </w:r>
                </w:p>
              </w:tc>
              <w:tc>
                <w:tcPr>
                  <w:tcW w:w="1276" w:type="dxa"/>
                  <w:tcBorders>
                    <w:bottom w:val="nil"/>
                  </w:tcBorders>
                  <w:shd w:val="clear" w:color="auto" w:fill="auto"/>
                </w:tcPr>
                <w:p>
                  <w:pPr>
                    <w:jc w:val="center"/>
                    <w:rPr>
                      <w:lang w:val="uk-UA"/>
                    </w:rPr>
                  </w:pPr>
                </w:p>
              </w:tc>
              <w:tc>
                <w:tcPr>
                  <w:tcW w:w="850" w:type="dxa"/>
                  <w:vMerge w:val="restart"/>
                  <w:shd w:val="clear" w:color="auto" w:fill="auto"/>
                  <w:vAlign w:val="center"/>
                </w:tcPr>
                <w:p>
                  <w:pPr>
                    <w:jc w:val="center"/>
                    <w:rPr>
                      <w:lang w:val="uk-UA"/>
                    </w:rPr>
                  </w:pPr>
                  <w:r>
                    <w:rPr>
                      <w:lang w:val="uk-UA"/>
                    </w:rPr>
                    <w:t>Сума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475" w:type="dxa"/>
                  <w:gridSpan w:val="2"/>
                  <w:shd w:val="clear" w:color="auto" w:fill="auto"/>
                </w:tcPr>
                <w:p>
                  <w:pPr>
                    <w:jc w:val="center"/>
                    <w:rPr>
                      <w:lang w:val="uk-UA"/>
                    </w:rPr>
                  </w:pPr>
                  <w:r>
                    <w:rPr>
                      <w:lang w:val="uk-UA"/>
                    </w:rPr>
                    <w:t>Змістовий модуль № 1</w:t>
                  </w:r>
                </w:p>
              </w:tc>
              <w:tc>
                <w:tcPr>
                  <w:tcW w:w="2410" w:type="dxa"/>
                  <w:gridSpan w:val="2"/>
                  <w:shd w:val="clear" w:color="auto" w:fill="auto"/>
                </w:tcPr>
                <w:p>
                  <w:pPr>
                    <w:jc w:val="center"/>
                    <w:rPr>
                      <w:lang w:val="uk-UA"/>
                    </w:rPr>
                  </w:pPr>
                  <w:r>
                    <w:rPr>
                      <w:lang w:val="uk-UA"/>
                    </w:rPr>
                    <w:t xml:space="preserve">Змістовий модуль </w:t>
                  </w:r>
                </w:p>
                <w:p>
                  <w:pPr>
                    <w:jc w:val="center"/>
                    <w:rPr>
                      <w:lang w:val="uk-UA"/>
                    </w:rPr>
                  </w:pPr>
                  <w:r>
                    <w:rPr>
                      <w:lang w:val="uk-UA"/>
                    </w:rPr>
                    <w:t>№ 2</w:t>
                  </w:r>
                </w:p>
              </w:tc>
              <w:tc>
                <w:tcPr>
                  <w:tcW w:w="2410" w:type="dxa"/>
                  <w:gridSpan w:val="2"/>
                  <w:tcBorders>
                    <w:top w:val="nil"/>
                  </w:tcBorders>
                  <w:shd w:val="clear" w:color="auto" w:fill="auto"/>
                </w:tcPr>
                <w:p>
                  <w:pPr>
                    <w:jc w:val="center"/>
                    <w:rPr>
                      <w:lang w:val="uk-UA"/>
                    </w:rPr>
                  </w:pPr>
                  <w:r>
                    <w:rPr>
                      <w:lang w:val="uk-UA"/>
                    </w:rPr>
                    <w:t xml:space="preserve">Змістовий модуль </w:t>
                  </w:r>
                </w:p>
                <w:p>
                  <w:pPr>
                    <w:jc w:val="center"/>
                    <w:rPr>
                      <w:lang w:val="uk-UA"/>
                    </w:rPr>
                  </w:pPr>
                  <w:r>
                    <w:rPr>
                      <w:lang w:val="uk-UA"/>
                    </w:rPr>
                    <w:t>№ 3</w:t>
                  </w:r>
                </w:p>
              </w:tc>
              <w:tc>
                <w:tcPr>
                  <w:tcW w:w="1276" w:type="dxa"/>
                  <w:vMerge w:val="restart"/>
                  <w:tcBorders>
                    <w:top w:val="nil"/>
                  </w:tcBorders>
                  <w:shd w:val="clear" w:color="auto" w:fill="auto"/>
                </w:tcPr>
                <w:p>
                  <w:pPr>
                    <w:jc w:val="center"/>
                    <w:rPr>
                      <w:lang w:val="uk-UA"/>
                    </w:rPr>
                  </w:pPr>
                  <w:r>
                    <w:rPr>
                      <w:lang w:val="uk-UA"/>
                    </w:rPr>
                    <w:t>Підсумк тест (залік)</w:t>
                  </w:r>
                </w:p>
              </w:tc>
              <w:tc>
                <w:tcPr>
                  <w:tcW w:w="850" w:type="dxa"/>
                  <w:vMerge w:val="continue"/>
                  <w:shd w:val="clear" w:color="auto" w:fill="auto"/>
                </w:tcPr>
                <w:p>
                  <w:pPr>
                    <w:jc w:val="right"/>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shd w:val="clear" w:color="auto" w:fill="auto"/>
                </w:tcPr>
                <w:p>
                  <w:pPr>
                    <w:jc w:val="center"/>
                    <w:rPr>
                      <w:lang w:val="uk-UA"/>
                    </w:rPr>
                  </w:pPr>
                  <w:r>
                    <w:rPr>
                      <w:lang w:val="uk-UA"/>
                    </w:rPr>
                    <w:t>теор. частина</w:t>
                  </w:r>
                </w:p>
              </w:tc>
              <w:tc>
                <w:tcPr>
                  <w:tcW w:w="1215" w:type="dxa"/>
                  <w:shd w:val="clear" w:color="auto" w:fill="auto"/>
                </w:tcPr>
                <w:p>
                  <w:pPr>
                    <w:jc w:val="center"/>
                    <w:rPr>
                      <w:lang w:val="uk-UA"/>
                    </w:rPr>
                  </w:pPr>
                  <w:r>
                    <w:rPr>
                      <w:lang w:val="uk-UA"/>
                    </w:rPr>
                    <w:t>контроль</w:t>
                  </w:r>
                </w:p>
              </w:tc>
              <w:tc>
                <w:tcPr>
                  <w:tcW w:w="1134" w:type="dxa"/>
                  <w:shd w:val="clear" w:color="auto" w:fill="auto"/>
                </w:tcPr>
                <w:p>
                  <w:pPr>
                    <w:jc w:val="center"/>
                    <w:rPr>
                      <w:lang w:val="uk-UA"/>
                    </w:rPr>
                  </w:pPr>
                  <w:r>
                    <w:rPr>
                      <w:lang w:val="uk-UA"/>
                    </w:rPr>
                    <w:t>теор. частина</w:t>
                  </w:r>
                </w:p>
              </w:tc>
              <w:tc>
                <w:tcPr>
                  <w:tcW w:w="1276" w:type="dxa"/>
                  <w:shd w:val="clear" w:color="auto" w:fill="auto"/>
                </w:tcPr>
                <w:p>
                  <w:pPr>
                    <w:jc w:val="center"/>
                    <w:rPr>
                      <w:lang w:val="uk-UA"/>
                    </w:rPr>
                  </w:pPr>
                  <w:r>
                    <w:rPr>
                      <w:lang w:val="uk-UA"/>
                    </w:rPr>
                    <w:t xml:space="preserve">контроль </w:t>
                  </w:r>
                </w:p>
              </w:tc>
              <w:tc>
                <w:tcPr>
                  <w:tcW w:w="1134" w:type="dxa"/>
                  <w:shd w:val="clear" w:color="auto" w:fill="auto"/>
                </w:tcPr>
                <w:p>
                  <w:pPr>
                    <w:jc w:val="center"/>
                    <w:rPr>
                      <w:lang w:val="uk-UA"/>
                    </w:rPr>
                  </w:pPr>
                  <w:r>
                    <w:rPr>
                      <w:lang w:val="uk-UA"/>
                    </w:rPr>
                    <w:t>теор. частина</w:t>
                  </w:r>
                </w:p>
              </w:tc>
              <w:tc>
                <w:tcPr>
                  <w:tcW w:w="1276" w:type="dxa"/>
                  <w:shd w:val="clear" w:color="auto" w:fill="auto"/>
                </w:tcPr>
                <w:p>
                  <w:pPr>
                    <w:jc w:val="center"/>
                    <w:rPr>
                      <w:lang w:val="uk-UA"/>
                    </w:rPr>
                  </w:pPr>
                  <w:r>
                    <w:rPr>
                      <w:lang w:val="uk-UA"/>
                    </w:rPr>
                    <w:t xml:space="preserve">контроль </w:t>
                  </w:r>
                </w:p>
              </w:tc>
              <w:tc>
                <w:tcPr>
                  <w:tcW w:w="1276" w:type="dxa"/>
                  <w:vMerge w:val="continue"/>
                  <w:shd w:val="clear" w:color="auto" w:fill="auto"/>
                </w:tcPr>
                <w:p>
                  <w:pPr>
                    <w:jc w:val="center"/>
                    <w:rPr>
                      <w:lang w:val="uk-UA"/>
                    </w:rPr>
                  </w:pPr>
                </w:p>
              </w:tc>
              <w:tc>
                <w:tcPr>
                  <w:tcW w:w="850" w:type="dxa"/>
                  <w:vMerge w:val="continue"/>
                  <w:shd w:val="clear" w:color="auto" w:fill="auto"/>
                </w:tcPr>
                <w:p>
                  <w:pPr>
                    <w:jc w:val="right"/>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auto"/>
                </w:tcPr>
                <w:p>
                  <w:pPr>
                    <w:jc w:val="center"/>
                    <w:rPr>
                      <w:rFonts w:hint="default"/>
                      <w:lang w:val="uk-UA"/>
                    </w:rPr>
                  </w:pPr>
                  <w:r>
                    <w:rPr>
                      <w:lang w:val="uk-UA"/>
                    </w:rPr>
                    <w:t>1</w:t>
                  </w:r>
                  <w:r>
                    <w:rPr>
                      <w:rFonts w:hint="default"/>
                      <w:lang w:val="uk-UA"/>
                    </w:rPr>
                    <w:t>0</w:t>
                  </w:r>
                </w:p>
              </w:tc>
              <w:tc>
                <w:tcPr>
                  <w:tcW w:w="1215" w:type="dxa"/>
                  <w:shd w:val="clear" w:color="auto" w:fill="auto"/>
                </w:tcPr>
                <w:p>
                  <w:pPr>
                    <w:jc w:val="center"/>
                    <w:rPr>
                      <w:lang w:val="uk-UA"/>
                    </w:rPr>
                  </w:pPr>
                  <w:r>
                    <w:rPr>
                      <w:lang w:val="uk-UA"/>
                    </w:rPr>
                    <w:t>10</w:t>
                  </w:r>
                </w:p>
              </w:tc>
              <w:tc>
                <w:tcPr>
                  <w:tcW w:w="1134" w:type="dxa"/>
                  <w:shd w:val="clear" w:color="auto" w:fill="auto"/>
                </w:tcPr>
                <w:p>
                  <w:pPr>
                    <w:jc w:val="center"/>
                    <w:rPr>
                      <w:rFonts w:hint="default"/>
                      <w:lang w:val="uk-UA"/>
                    </w:rPr>
                  </w:pPr>
                  <w:r>
                    <w:rPr>
                      <w:rFonts w:hint="default"/>
                      <w:lang w:val="uk-UA"/>
                    </w:rPr>
                    <w:t>10</w:t>
                  </w:r>
                </w:p>
              </w:tc>
              <w:tc>
                <w:tcPr>
                  <w:tcW w:w="1276" w:type="dxa"/>
                  <w:shd w:val="clear" w:color="auto" w:fill="auto"/>
                </w:tcPr>
                <w:p>
                  <w:pPr>
                    <w:jc w:val="center"/>
                    <w:rPr>
                      <w:lang w:val="uk-UA"/>
                    </w:rPr>
                  </w:pPr>
                  <w:r>
                    <w:rPr>
                      <w:lang w:val="uk-UA"/>
                    </w:rPr>
                    <w:t>10</w:t>
                  </w:r>
                </w:p>
              </w:tc>
              <w:tc>
                <w:tcPr>
                  <w:tcW w:w="1134" w:type="dxa"/>
                  <w:shd w:val="clear" w:color="auto" w:fill="auto"/>
                </w:tcPr>
                <w:p>
                  <w:pPr>
                    <w:jc w:val="center"/>
                    <w:rPr>
                      <w:rFonts w:hint="default"/>
                      <w:lang w:val="uk-UA"/>
                    </w:rPr>
                  </w:pPr>
                  <w:r>
                    <w:rPr>
                      <w:lang w:val="uk-UA"/>
                    </w:rPr>
                    <w:t>1</w:t>
                  </w:r>
                  <w:r>
                    <w:rPr>
                      <w:rFonts w:hint="default"/>
                      <w:lang w:val="uk-UA"/>
                    </w:rPr>
                    <w:t>0</w:t>
                  </w:r>
                </w:p>
              </w:tc>
              <w:tc>
                <w:tcPr>
                  <w:tcW w:w="1276" w:type="dxa"/>
                  <w:shd w:val="clear" w:color="auto" w:fill="auto"/>
                </w:tcPr>
                <w:p>
                  <w:pPr>
                    <w:jc w:val="center"/>
                    <w:rPr>
                      <w:lang w:val="uk-UA"/>
                    </w:rPr>
                  </w:pPr>
                  <w:r>
                    <w:rPr>
                      <w:lang w:val="uk-UA"/>
                    </w:rPr>
                    <w:t>10</w:t>
                  </w:r>
                </w:p>
              </w:tc>
              <w:tc>
                <w:tcPr>
                  <w:tcW w:w="1276" w:type="dxa"/>
                  <w:shd w:val="clear" w:color="auto" w:fill="auto"/>
                </w:tcPr>
                <w:p>
                  <w:pPr>
                    <w:jc w:val="center"/>
                    <w:rPr>
                      <w:lang w:val="uk-UA"/>
                    </w:rPr>
                  </w:pPr>
                  <w:r>
                    <w:rPr>
                      <w:rFonts w:hint="default"/>
                      <w:lang w:val="uk-UA"/>
                    </w:rPr>
                    <w:t>4</w:t>
                  </w:r>
                  <w:r>
                    <w:rPr>
                      <w:lang w:val="uk-UA"/>
                    </w:rPr>
                    <w:t>0</w:t>
                  </w:r>
                </w:p>
              </w:tc>
              <w:tc>
                <w:tcPr>
                  <w:tcW w:w="850" w:type="dxa"/>
                  <w:shd w:val="clear" w:color="auto" w:fill="auto"/>
                </w:tcPr>
                <w:p>
                  <w:pPr>
                    <w:jc w:val="center"/>
                    <w:rPr>
                      <w:lang w:val="uk-UA"/>
                    </w:rPr>
                  </w:pPr>
                  <w:r>
                    <w:rPr>
                      <w:lang w:val="uk-UA"/>
                    </w:rPr>
                    <w:t>100</w:t>
                  </w:r>
                </w:p>
              </w:tc>
            </w:tr>
          </w:tbl>
          <w:p>
            <w:pPr>
              <w:spacing w:before="40" w:after="40"/>
              <w:ind w:left="360" w:hanging="360"/>
              <w:rPr>
                <w:b/>
                <w:bCs/>
                <w:lang w:val="uk-UA"/>
              </w:rPr>
            </w:pPr>
          </w:p>
          <w:p>
            <w:pPr>
              <w:spacing w:before="40" w:after="40"/>
              <w:ind w:left="360" w:hanging="360"/>
              <w:rPr>
                <w:b/>
                <w:bCs/>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4" w:hRule="atLeast"/>
        </w:trPr>
        <w:tc>
          <w:tcPr>
            <w:tcW w:w="5000" w:type="pct"/>
            <w:gridSpan w:val="11"/>
            <w:tcBorders>
              <w:top w:val="double" w:color="auto" w:sz="4" w:space="0"/>
              <w:left w:val="single" w:color="auto" w:sz="4" w:space="0"/>
              <w:bottom w:val="single" w:color="auto" w:sz="4" w:space="0"/>
              <w:right w:val="single" w:color="auto" w:sz="4" w:space="0"/>
            </w:tcBorders>
          </w:tcPr>
          <w:p>
            <w:pPr>
              <w:rPr>
                <w:b/>
                <w:lang w:val="uk-UA"/>
              </w:rPr>
            </w:pPr>
            <w:r>
              <w:rPr>
                <w:b/>
                <w:lang w:val="uk-UA"/>
              </w:rPr>
              <w:t>21) Умови допуску до підсумкового контролю:</w:t>
            </w:r>
          </w:p>
          <w:p>
            <w:pPr>
              <w:rPr>
                <w:lang w:val="uk-UA"/>
              </w:rPr>
            </w:pPr>
            <w:r>
              <w:rPr>
                <w:lang w:val="uk-UA"/>
              </w:rPr>
              <w:t>- відвідування лекцій;</w:t>
            </w:r>
          </w:p>
          <w:p>
            <w:pPr>
              <w:rPr>
                <w:lang w:val="uk-UA"/>
              </w:rPr>
            </w:pPr>
            <w:r>
              <w:rPr>
                <w:lang w:val="uk-UA"/>
              </w:rPr>
              <w:t>- активність на практичних заняттях;</w:t>
            </w:r>
          </w:p>
          <w:p>
            <w:pPr>
              <w:rPr>
                <w:lang w:val="uk-UA"/>
              </w:rPr>
            </w:pPr>
            <w:r>
              <w:rPr>
                <w:lang w:val="uk-UA"/>
              </w:rPr>
              <w:t>- дотримання термінів виконання РР;</w:t>
            </w:r>
          </w:p>
          <w:p>
            <w:pPr>
              <w:tabs>
                <w:tab w:val="decimal" w:pos="0"/>
              </w:tabs>
              <w:rPr>
                <w:sz w:val="22"/>
                <w:szCs w:val="22"/>
                <w:highlight w:val="yellow"/>
                <w:lang w:val="uk-UA"/>
              </w:rPr>
            </w:pPr>
            <w:r>
              <w:rPr>
                <w:lang w:val="uk-UA"/>
              </w:rPr>
              <w:t>- дотримання умов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decimal" w:pos="0"/>
              </w:tabs>
              <w:rPr>
                <w:bCs/>
                <w:sz w:val="22"/>
                <w:szCs w:val="22"/>
                <w:highlight w:val="yellow"/>
                <w:lang w:val="uk-UA"/>
              </w:rPr>
            </w:pPr>
            <w:r>
              <w:rPr>
                <w:b/>
                <w:lang w:val="uk-UA"/>
              </w:rPr>
              <w:t xml:space="preserve">22) Політика щодо академічної доброчесності: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rPr>
                <w:b/>
                <w:lang w:val="uk-UA"/>
              </w:rPr>
            </w:pPr>
            <w:r>
              <w:rPr>
                <w:b/>
                <w:lang w:val="uk-UA"/>
              </w:rPr>
              <w:t>23) Посилання на сторінку електронного навчально-методичного комплексу дисципліни:</w:t>
            </w:r>
          </w:p>
          <w:p>
            <w:pPr>
              <w:tabs>
                <w:tab w:val="decimal" w:pos="0"/>
              </w:tabs>
              <w:rPr>
                <w:bCs/>
                <w:lang w:val="uk-UA"/>
              </w:rPr>
            </w:pPr>
            <w:r>
              <w:fldChar w:fldCharType="begin"/>
            </w:r>
            <w:r>
              <w:instrText xml:space="preserve"> HYPERLINK "http://org2.knuba.edu.ua/course/view.php?id=176" </w:instrText>
            </w:r>
            <w:r>
              <w:fldChar w:fldCharType="separate"/>
            </w:r>
            <w:r>
              <w:rPr>
                <w:rStyle w:val="6"/>
                <w:bCs/>
                <w:lang w:val="uk-UA"/>
              </w:rPr>
              <w:t>http://org2.knuba.edu.ua/course/view.php?id=176</w:t>
            </w:r>
            <w:r>
              <w:rPr>
                <w:rStyle w:val="6"/>
                <w:bCs/>
                <w:lang w:val="uk-UA"/>
              </w:rPr>
              <w:fldChar w:fldCharType="end"/>
            </w:r>
          </w:p>
        </w:tc>
      </w:tr>
    </w:tbl>
    <w:p>
      <w:pPr>
        <w:tabs>
          <w:tab w:val="center" w:pos="1134"/>
        </w:tabs>
        <w:ind w:left="4320" w:hanging="4320"/>
        <w:rPr>
          <w:sz w:val="22"/>
          <w:szCs w:val="22"/>
          <w:lang w:val="uk-UA"/>
        </w:rPr>
      </w:pPr>
    </w:p>
    <w:p>
      <w:pPr>
        <w:rPr>
          <w:sz w:val="22"/>
          <w:szCs w:val="22"/>
        </w:rPr>
      </w:pPr>
    </w:p>
    <w:sectPr>
      <w:headerReference r:id="rId3" w:type="default"/>
      <w:footerReference r:id="rId4" w:type="default"/>
      <w:pgSz w:w="11906" w:h="16838"/>
      <w:pgMar w:top="1134" w:right="851" w:bottom="1418" w:left="1418" w:header="709"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 w:val="clear" w:pos="4536"/>
        <w:tab w:val="clear" w:pos="9072"/>
      </w:tabs>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s>
      <w:rPr>
        <w:sz w:val="18"/>
        <w:szCs w:val="18"/>
        <w:lang w:val="uk-UA"/>
      </w:rPr>
    </w:pPr>
    <w:r>
      <w:rPr>
        <w:lang w:val="ru-RU" w:eastAsia="ru-RU"/>
      </w:rPr>
      <mc:AlternateContent>
        <mc:Choice Requires="wpg">
          <w:drawing>
            <wp:anchor distT="0" distB="0" distL="114300" distR="114300" simplePos="0" relativeHeight="251659264" behindDoc="0" locked="0" layoutInCell="1" allowOverlap="1">
              <wp:simplePos x="0" y="0"/>
              <wp:positionH relativeFrom="column">
                <wp:align>right</wp:align>
              </wp:positionH>
              <wp:positionV relativeFrom="paragraph">
                <wp:posOffset>27305</wp:posOffset>
              </wp:positionV>
              <wp:extent cx="2209165" cy="219075"/>
              <wp:effectExtent l="0" t="0" r="19685" b="28575"/>
              <wp:wrapNone/>
              <wp:docPr id="1" name="Group 1"/>
              <wp:cNvGraphicFramePr/>
              <a:graphic xmlns:a="http://schemas.openxmlformats.org/drawingml/2006/main">
                <a:graphicData uri="http://schemas.microsoft.com/office/word/2010/wordprocessingGroup">
                  <wpg:wgp>
                    <wpg:cNvGrpSpPr/>
                    <wpg:grpSpPr>
                      <a:xfrm>
                        <a:off x="0" y="0"/>
                        <a:ext cx="2209165" cy="219075"/>
                        <a:chOff x="3883" y="733"/>
                        <a:chExt cx="3479" cy="345"/>
                      </a:xfrm>
                    </wpg:grpSpPr>
                    <wps:wsp>
                      <wps:cNvPr id="2" name="Rectangle 2"/>
                      <wps:cNvSpPr>
                        <a:spLocks noChangeArrowheads="1"/>
                      </wps:cNvSpPr>
                      <wps:spPr bwMode="auto">
                        <a:xfrm>
                          <a:off x="3883" y="733"/>
                          <a:ext cx="1020" cy="345"/>
                        </a:xfrm>
                        <a:prstGeom prst="rect">
                          <a:avLst/>
                        </a:prstGeom>
                        <a:solidFill>
                          <a:srgbClr val="FFFFFF"/>
                        </a:solidFill>
                        <a:ln w="9525">
                          <a:solidFill>
                            <a:srgbClr val="000000"/>
                          </a:solidFill>
                          <a:miter lim="800000"/>
                        </a:ln>
                      </wps:spPr>
                      <wps:txbx>
                        <w:txbxContent>
                          <w:p>
                            <w:pPr>
                              <w:jc w:val="center"/>
                              <w:rPr>
                                <w:rFonts w:ascii="Tahoma" w:hAnsi="Tahoma" w:cs="Tahoma"/>
                                <w:sz w:val="14"/>
                                <w:lang w:val="uk-UA"/>
                              </w:rPr>
                            </w:pPr>
                            <w:r>
                              <w:rPr>
                                <w:rFonts w:ascii="Tahoma" w:hAnsi="Tahoma" w:cs="Tahoma"/>
                                <w:sz w:val="14"/>
                                <w:lang w:val="uk-UA"/>
                              </w:rPr>
                              <w:t xml:space="preserve">076 </w:t>
                            </w: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ln>
                      </wps:spPr>
                      <wps:txbx>
                        <w:txbxContent>
                          <w:p>
                            <w:pPr>
                              <w:jc w:val="center"/>
                              <w:rPr>
                                <w:rFonts w:ascii="Tahoma" w:hAnsi="Tahoma" w:cs="Tahoma"/>
                                <w:sz w:val="14"/>
                                <w:szCs w:val="16"/>
                                <w:lang w:val="uk-UA"/>
                              </w:rPr>
                            </w:pPr>
                            <w:r>
                              <w:rPr>
                                <w:rFonts w:ascii="Tahoma" w:hAnsi="Tahoma" w:cs="Tahoma"/>
                                <w:sz w:val="14"/>
                                <w:szCs w:val="16"/>
                                <w:lang w:val="uk-UA"/>
                              </w:rPr>
                              <w:t>ТКД</w:t>
                            </w:r>
                          </w:p>
                          <w:p>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ln>
                      </wps:spPr>
                      <wps:txbx>
                        <w:txbxContent>
                          <w:p>
                            <w:pPr>
                              <w:pStyle w:val="12"/>
                              <w:jc w:val="center"/>
                              <w:rPr>
                                <w:rFonts w:ascii="Tahoma" w:hAnsi="Tahoma" w:cs="Tahoma"/>
                                <w:sz w:val="14"/>
                                <w:szCs w:val="16"/>
                              </w:rPr>
                            </w:pPr>
                            <w:r>
                              <w:rPr>
                                <w:rFonts w:ascii="Tahoma" w:hAnsi="Tahoma" w:cs="Tahoma"/>
                                <w:sz w:val="14"/>
                                <w:szCs w:val="16"/>
                              </w:rPr>
                              <w:t>Сторінка 1 з 3</w:t>
                            </w:r>
                          </w:p>
                        </w:txbxContent>
                      </wps:txbx>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top:2.15pt;height:17.25pt;width:173.95pt;mso-position-horizontal:right;z-index:251659264;mso-width-relative:page;mso-height-relative:page;" coordorigin="3883,733" coordsize="3479,345" o:gfxdata="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ju/7t1wAAAAUBAAAPAAAAAAAAAAEAIAAAACIAAABkcnMvZG93bnJldi54bWxQ&#10;SwECFAAUAAAACACHTuJAPktQN9wCAADlCgAADgAAAAAAAAABACAAAAAmAQAAZHJzL2Uyb0RvYy54&#10;bWxQSwUGAAAAAAYABgBZAQAAdAYAAAAA&#10;">
              <o:lock v:ext="edit" aspectratio="f"/>
              <v:rect id="Rectangle 2" o:spid="_x0000_s1026" o:spt="1" style="position:absolute;left:3883;top:733;height:345;width:10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ahoma" w:hAnsi="Tahoma" w:cs="Tahoma"/>
                          <w:sz w:val="14"/>
                          <w:lang w:val="uk-UA"/>
                        </w:rPr>
                      </w:pPr>
                      <w:r>
                        <w:rPr>
                          <w:rFonts w:ascii="Tahoma" w:hAnsi="Tahoma" w:cs="Tahoma"/>
                          <w:sz w:val="14"/>
                          <w:lang w:val="uk-UA"/>
                        </w:rPr>
                        <w:t xml:space="preserve">076 </w:t>
                      </w:r>
                    </w:p>
                  </w:txbxContent>
                </v:textbox>
              </v:rect>
              <v:rect id="Rectangle 3" o:spid="_x0000_s1026" o:spt="1" style="position:absolute;left:4899;top:733;height:345;width:119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ahoma" w:hAnsi="Tahoma" w:cs="Tahoma"/>
                          <w:sz w:val="14"/>
                          <w:szCs w:val="16"/>
                          <w:lang w:val="uk-UA"/>
                        </w:rPr>
                      </w:pPr>
                      <w:r>
                        <w:rPr>
                          <w:rFonts w:ascii="Tahoma" w:hAnsi="Tahoma" w:cs="Tahoma"/>
                          <w:sz w:val="14"/>
                          <w:szCs w:val="16"/>
                          <w:lang w:val="uk-UA"/>
                        </w:rPr>
                        <w:t>ТКД</w:t>
                      </w:r>
                    </w:p>
                    <w:p>
                      <w:pPr>
                        <w:jc w:val="center"/>
                        <w:rPr>
                          <w:rFonts w:ascii="Tahoma" w:hAnsi="Tahoma" w:cs="Tahoma"/>
                          <w:sz w:val="14"/>
                          <w:szCs w:val="16"/>
                          <w:lang w:val="uk-UA"/>
                        </w:rPr>
                      </w:pPr>
                    </w:p>
                  </w:txbxContent>
                </v:textbox>
              </v:rect>
              <v:rect id="Rectangle 4" o:spid="_x0000_s1026" o:spt="1" style="position:absolute;left:6086;top:733;height:345;width:127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12"/>
                        <w:jc w:val="center"/>
                        <w:rPr>
                          <w:rFonts w:ascii="Tahoma" w:hAnsi="Tahoma" w:cs="Tahoma"/>
                          <w:sz w:val="14"/>
                          <w:szCs w:val="16"/>
                        </w:rPr>
                      </w:pPr>
                      <w:r>
                        <w:rPr>
                          <w:rFonts w:ascii="Tahoma" w:hAnsi="Tahoma" w:cs="Tahoma"/>
                          <w:sz w:val="14"/>
                          <w:szCs w:val="16"/>
                        </w:rPr>
                        <w:t>Сторінка 1 з 3</w:t>
                      </w:r>
                    </w:p>
                  </w:txbxContent>
                </v:textbox>
              </v:rect>
            </v:group>
          </w:pict>
        </mc:Fallback>
      </mc:AlternateContent>
    </w:r>
    <w:r>
      <w:rPr>
        <w:sz w:val="18"/>
        <w:szCs w:val="18"/>
        <w:lang w:val="uk-UA"/>
      </w:rPr>
      <w:t>Київський національний університет</w:t>
    </w:r>
  </w:p>
  <w:p>
    <w:pPr>
      <w:tabs>
        <w:tab w:val="center" w:pos="4820"/>
      </w:tabs>
      <w:rPr>
        <w:sz w:val="18"/>
        <w:szCs w:val="18"/>
        <w:lang w:val="uk-UA"/>
      </w:rPr>
    </w:pPr>
    <w:r>
      <w:rPr>
        <w:sz w:val="18"/>
        <w:szCs w:val="18"/>
        <w:lang w:val="uk-UA"/>
      </w:rPr>
      <w:t>будівництва і архітектури</w:t>
    </w:r>
  </w:p>
  <w:p>
    <w:pPr>
      <w:tabs>
        <w:tab w:val="center" w:pos="4820"/>
      </w:tabs>
      <w:rPr>
        <w:b/>
        <w:sz w:val="18"/>
        <w:szCs w:val="18"/>
      </w:rPr>
    </w:pPr>
    <w:r>
      <w:rPr>
        <w:sz w:val="18"/>
        <w:szCs w:val="18"/>
        <w:lang w:val="uk-UA"/>
      </w:rPr>
      <w:t>Кафедра інформаційних технологій проектування та прикладної математики</w:t>
    </w:r>
    <w:r>
      <w:rPr>
        <w:b/>
        <w:sz w:val="18"/>
        <w:szCs w:val="18"/>
      </w:rPr>
      <w:tab/>
    </w:r>
  </w:p>
  <w:p>
    <w:pPr>
      <w:pStyle w:val="12"/>
      <w:tabs>
        <w:tab w:val="center" w:pos="4820"/>
        <w:tab w:val="right" w:pos="9639"/>
        <w:tab w:val="clear" w:pos="4536"/>
        <w:tab w:val="clear" w:pos="9072"/>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25A2"/>
    <w:multiLevelType w:val="multilevel"/>
    <w:tmpl w:val="2D3625A2"/>
    <w:lvl w:ilvl="0" w:tentative="0">
      <w:start w:val="1"/>
      <w:numFmt w:val="decimal"/>
      <w:lvlText w:val="%1."/>
      <w:lvlJc w:val="left"/>
      <w:pPr>
        <w:ind w:left="394" w:hanging="360"/>
      </w:pPr>
      <w:rPr>
        <w:rFonts w:hint="default" w:eastAsia="Calibri"/>
      </w:rPr>
    </w:lvl>
    <w:lvl w:ilvl="1" w:tentative="0">
      <w:start w:val="1"/>
      <w:numFmt w:val="lowerLetter"/>
      <w:lvlText w:val="%2."/>
      <w:lvlJc w:val="left"/>
      <w:pPr>
        <w:ind w:left="1114" w:hanging="360"/>
      </w:pPr>
    </w:lvl>
    <w:lvl w:ilvl="2" w:tentative="0">
      <w:start w:val="1"/>
      <w:numFmt w:val="lowerRoman"/>
      <w:lvlText w:val="%3."/>
      <w:lvlJc w:val="right"/>
      <w:pPr>
        <w:ind w:left="1834" w:hanging="180"/>
      </w:pPr>
    </w:lvl>
    <w:lvl w:ilvl="3" w:tentative="0">
      <w:start w:val="1"/>
      <w:numFmt w:val="decimal"/>
      <w:lvlText w:val="%4."/>
      <w:lvlJc w:val="left"/>
      <w:pPr>
        <w:ind w:left="2554" w:hanging="360"/>
      </w:pPr>
    </w:lvl>
    <w:lvl w:ilvl="4" w:tentative="0">
      <w:start w:val="1"/>
      <w:numFmt w:val="lowerLetter"/>
      <w:lvlText w:val="%5."/>
      <w:lvlJc w:val="left"/>
      <w:pPr>
        <w:ind w:left="3274" w:hanging="360"/>
      </w:pPr>
    </w:lvl>
    <w:lvl w:ilvl="5" w:tentative="0">
      <w:start w:val="1"/>
      <w:numFmt w:val="lowerRoman"/>
      <w:lvlText w:val="%6."/>
      <w:lvlJc w:val="right"/>
      <w:pPr>
        <w:ind w:left="3994" w:hanging="180"/>
      </w:pPr>
    </w:lvl>
    <w:lvl w:ilvl="6" w:tentative="0">
      <w:start w:val="1"/>
      <w:numFmt w:val="decimal"/>
      <w:lvlText w:val="%7."/>
      <w:lvlJc w:val="left"/>
      <w:pPr>
        <w:ind w:left="4714" w:hanging="360"/>
      </w:pPr>
    </w:lvl>
    <w:lvl w:ilvl="7" w:tentative="0">
      <w:start w:val="1"/>
      <w:numFmt w:val="lowerLetter"/>
      <w:lvlText w:val="%8."/>
      <w:lvlJc w:val="left"/>
      <w:pPr>
        <w:ind w:left="5434" w:hanging="360"/>
      </w:pPr>
    </w:lvl>
    <w:lvl w:ilvl="8" w:tentative="0">
      <w:start w:val="1"/>
      <w:numFmt w:val="lowerRoman"/>
      <w:lvlText w:val="%9."/>
      <w:lvlJc w:val="right"/>
      <w:pPr>
        <w:ind w:left="6154" w:hanging="180"/>
      </w:pPr>
    </w:lvl>
  </w:abstractNum>
  <w:abstractNum w:abstractNumId="1">
    <w:nsid w:val="4015255F"/>
    <w:multiLevelType w:val="multilevel"/>
    <w:tmpl w:val="4015255F"/>
    <w:lvl w:ilvl="0" w:tentative="0">
      <w:start w:val="1"/>
      <w:numFmt w:val="decimal"/>
      <w:lvlText w:val="%1."/>
      <w:lvlJc w:val="left"/>
      <w:pPr>
        <w:ind w:left="360" w:hanging="360"/>
      </w:pPr>
      <w:rPr>
        <w:rFonts w:ascii="Times New Roman" w:hAnsi="Times New Roman" w:eastAsia="Calibri" w:cs="Times New Roman"/>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5E233ABC"/>
    <w:multiLevelType w:val="multilevel"/>
    <w:tmpl w:val="5E233AB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CD4559A"/>
    <w:multiLevelType w:val="multilevel"/>
    <w:tmpl w:val="6CD4559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A8752EE"/>
    <w:multiLevelType w:val="multilevel"/>
    <w:tmpl w:val="7A8752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70F1"/>
    <w:rsid w:val="00015B96"/>
    <w:rsid w:val="0002298E"/>
    <w:rsid w:val="000246A0"/>
    <w:rsid w:val="00025345"/>
    <w:rsid w:val="000321F9"/>
    <w:rsid w:val="000613C1"/>
    <w:rsid w:val="000660D2"/>
    <w:rsid w:val="00067751"/>
    <w:rsid w:val="00070465"/>
    <w:rsid w:val="000A39E3"/>
    <w:rsid w:val="000A634E"/>
    <w:rsid w:val="000A6B8D"/>
    <w:rsid w:val="000C6AC3"/>
    <w:rsid w:val="000F35B4"/>
    <w:rsid w:val="001004B8"/>
    <w:rsid w:val="001115D2"/>
    <w:rsid w:val="00117E6A"/>
    <w:rsid w:val="001242BE"/>
    <w:rsid w:val="00126F9B"/>
    <w:rsid w:val="00127280"/>
    <w:rsid w:val="00131BAE"/>
    <w:rsid w:val="00143A5C"/>
    <w:rsid w:val="00146D4D"/>
    <w:rsid w:val="00150A11"/>
    <w:rsid w:val="00154088"/>
    <w:rsid w:val="00154509"/>
    <w:rsid w:val="0016051A"/>
    <w:rsid w:val="00164D47"/>
    <w:rsid w:val="00167D29"/>
    <w:rsid w:val="00170EB1"/>
    <w:rsid w:val="00177B00"/>
    <w:rsid w:val="001919F3"/>
    <w:rsid w:val="00194565"/>
    <w:rsid w:val="001972AF"/>
    <w:rsid w:val="001A623F"/>
    <w:rsid w:val="001A7C12"/>
    <w:rsid w:val="001A7F9F"/>
    <w:rsid w:val="001B0822"/>
    <w:rsid w:val="001B3355"/>
    <w:rsid w:val="001D0D08"/>
    <w:rsid w:val="001D6DD9"/>
    <w:rsid w:val="001E1080"/>
    <w:rsid w:val="001E7CC9"/>
    <w:rsid w:val="002067FD"/>
    <w:rsid w:val="00210395"/>
    <w:rsid w:val="00213196"/>
    <w:rsid w:val="00215115"/>
    <w:rsid w:val="00225953"/>
    <w:rsid w:val="00233F4F"/>
    <w:rsid w:val="00240C3B"/>
    <w:rsid w:val="002470B1"/>
    <w:rsid w:val="00257F42"/>
    <w:rsid w:val="0026403A"/>
    <w:rsid w:val="002708E0"/>
    <w:rsid w:val="00292DD9"/>
    <w:rsid w:val="002A106E"/>
    <w:rsid w:val="002A19A1"/>
    <w:rsid w:val="002A6007"/>
    <w:rsid w:val="002A6AF1"/>
    <w:rsid w:val="002B5BD1"/>
    <w:rsid w:val="002C086F"/>
    <w:rsid w:val="002D0E84"/>
    <w:rsid w:val="002D3AC6"/>
    <w:rsid w:val="002D6967"/>
    <w:rsid w:val="002E2F3A"/>
    <w:rsid w:val="002F0BC7"/>
    <w:rsid w:val="002F2387"/>
    <w:rsid w:val="002F6207"/>
    <w:rsid w:val="00310347"/>
    <w:rsid w:val="00321698"/>
    <w:rsid w:val="00322000"/>
    <w:rsid w:val="00322795"/>
    <w:rsid w:val="003267B3"/>
    <w:rsid w:val="003302D8"/>
    <w:rsid w:val="00330D4B"/>
    <w:rsid w:val="00337CD4"/>
    <w:rsid w:val="003425D4"/>
    <w:rsid w:val="00344D41"/>
    <w:rsid w:val="003454CC"/>
    <w:rsid w:val="0034748F"/>
    <w:rsid w:val="00363E44"/>
    <w:rsid w:val="00370BF5"/>
    <w:rsid w:val="00386F9F"/>
    <w:rsid w:val="00391ED0"/>
    <w:rsid w:val="003956B6"/>
    <w:rsid w:val="003A0DAB"/>
    <w:rsid w:val="003C04FF"/>
    <w:rsid w:val="003C4AD7"/>
    <w:rsid w:val="003C557A"/>
    <w:rsid w:val="003D16CA"/>
    <w:rsid w:val="003D3584"/>
    <w:rsid w:val="003D5FE5"/>
    <w:rsid w:val="003D63C1"/>
    <w:rsid w:val="003D7890"/>
    <w:rsid w:val="003E211F"/>
    <w:rsid w:val="003E7F21"/>
    <w:rsid w:val="00400C13"/>
    <w:rsid w:val="00403404"/>
    <w:rsid w:val="00403C27"/>
    <w:rsid w:val="004054C8"/>
    <w:rsid w:val="004114FE"/>
    <w:rsid w:val="00414A12"/>
    <w:rsid w:val="0041698E"/>
    <w:rsid w:val="004222D3"/>
    <w:rsid w:val="0043358E"/>
    <w:rsid w:val="004410CF"/>
    <w:rsid w:val="00442D0F"/>
    <w:rsid w:val="0046150A"/>
    <w:rsid w:val="00461985"/>
    <w:rsid w:val="004656FE"/>
    <w:rsid w:val="00472926"/>
    <w:rsid w:val="00474E2C"/>
    <w:rsid w:val="004847F0"/>
    <w:rsid w:val="00487861"/>
    <w:rsid w:val="004919AF"/>
    <w:rsid w:val="00497E3F"/>
    <w:rsid w:val="004A7787"/>
    <w:rsid w:val="004B7D78"/>
    <w:rsid w:val="004C6F80"/>
    <w:rsid w:val="004C7070"/>
    <w:rsid w:val="004D2055"/>
    <w:rsid w:val="004F1AAA"/>
    <w:rsid w:val="004F54C4"/>
    <w:rsid w:val="004F6236"/>
    <w:rsid w:val="00500B80"/>
    <w:rsid w:val="00511C4E"/>
    <w:rsid w:val="00523F41"/>
    <w:rsid w:val="0052752F"/>
    <w:rsid w:val="00536C8B"/>
    <w:rsid w:val="005434F4"/>
    <w:rsid w:val="00550FE5"/>
    <w:rsid w:val="00552F25"/>
    <w:rsid w:val="00574A8C"/>
    <w:rsid w:val="00574AE6"/>
    <w:rsid w:val="0057721E"/>
    <w:rsid w:val="005A137B"/>
    <w:rsid w:val="005A1E39"/>
    <w:rsid w:val="005A6FC8"/>
    <w:rsid w:val="005B0DA4"/>
    <w:rsid w:val="005C4D59"/>
    <w:rsid w:val="005D5ED8"/>
    <w:rsid w:val="005E458C"/>
    <w:rsid w:val="005E4994"/>
    <w:rsid w:val="005F29EF"/>
    <w:rsid w:val="005F5518"/>
    <w:rsid w:val="00613773"/>
    <w:rsid w:val="006251FD"/>
    <w:rsid w:val="00631285"/>
    <w:rsid w:val="006431E1"/>
    <w:rsid w:val="0064383D"/>
    <w:rsid w:val="00650762"/>
    <w:rsid w:val="006513B2"/>
    <w:rsid w:val="00651E7A"/>
    <w:rsid w:val="00652356"/>
    <w:rsid w:val="006602CE"/>
    <w:rsid w:val="00673C70"/>
    <w:rsid w:val="00682F92"/>
    <w:rsid w:val="00697750"/>
    <w:rsid w:val="0069780F"/>
    <w:rsid w:val="006A2C78"/>
    <w:rsid w:val="006B4370"/>
    <w:rsid w:val="006B4D43"/>
    <w:rsid w:val="006C210A"/>
    <w:rsid w:val="006E1FBA"/>
    <w:rsid w:val="006E63A1"/>
    <w:rsid w:val="006E695D"/>
    <w:rsid w:val="00700799"/>
    <w:rsid w:val="007070D3"/>
    <w:rsid w:val="00712D9B"/>
    <w:rsid w:val="00720F3A"/>
    <w:rsid w:val="007220EE"/>
    <w:rsid w:val="0073046B"/>
    <w:rsid w:val="00736B66"/>
    <w:rsid w:val="0074064C"/>
    <w:rsid w:val="00742916"/>
    <w:rsid w:val="00750A92"/>
    <w:rsid w:val="00754CDD"/>
    <w:rsid w:val="00761C21"/>
    <w:rsid w:val="00766392"/>
    <w:rsid w:val="007663F4"/>
    <w:rsid w:val="00767A0E"/>
    <w:rsid w:val="00777894"/>
    <w:rsid w:val="0078552B"/>
    <w:rsid w:val="00786899"/>
    <w:rsid w:val="00797865"/>
    <w:rsid w:val="007B0C77"/>
    <w:rsid w:val="007B1097"/>
    <w:rsid w:val="007C2858"/>
    <w:rsid w:val="007C6E5D"/>
    <w:rsid w:val="007D0FB5"/>
    <w:rsid w:val="007E1E67"/>
    <w:rsid w:val="007E50E5"/>
    <w:rsid w:val="00800C47"/>
    <w:rsid w:val="00805411"/>
    <w:rsid w:val="00811C3E"/>
    <w:rsid w:val="00811D7D"/>
    <w:rsid w:val="0081505D"/>
    <w:rsid w:val="00822C69"/>
    <w:rsid w:val="00824FAB"/>
    <w:rsid w:val="0083391A"/>
    <w:rsid w:val="00852320"/>
    <w:rsid w:val="00853A1B"/>
    <w:rsid w:val="00864F72"/>
    <w:rsid w:val="00871C9B"/>
    <w:rsid w:val="00880C84"/>
    <w:rsid w:val="00891D1A"/>
    <w:rsid w:val="00891F16"/>
    <w:rsid w:val="0089300C"/>
    <w:rsid w:val="00893052"/>
    <w:rsid w:val="00893452"/>
    <w:rsid w:val="008B0306"/>
    <w:rsid w:val="008B272B"/>
    <w:rsid w:val="008B4B70"/>
    <w:rsid w:val="008C6900"/>
    <w:rsid w:val="008D3CAB"/>
    <w:rsid w:val="008E63AB"/>
    <w:rsid w:val="008F4A5E"/>
    <w:rsid w:val="0090751D"/>
    <w:rsid w:val="00915957"/>
    <w:rsid w:val="0091620E"/>
    <w:rsid w:val="009164E0"/>
    <w:rsid w:val="0092011D"/>
    <w:rsid w:val="00921402"/>
    <w:rsid w:val="00924006"/>
    <w:rsid w:val="009260CF"/>
    <w:rsid w:val="00932F3A"/>
    <w:rsid w:val="0094594C"/>
    <w:rsid w:val="00945D28"/>
    <w:rsid w:val="00950D2B"/>
    <w:rsid w:val="00951B73"/>
    <w:rsid w:val="0095236D"/>
    <w:rsid w:val="00956F42"/>
    <w:rsid w:val="00960921"/>
    <w:rsid w:val="0096572E"/>
    <w:rsid w:val="009753FA"/>
    <w:rsid w:val="009975FB"/>
    <w:rsid w:val="009A01BA"/>
    <w:rsid w:val="009A41BB"/>
    <w:rsid w:val="009C05B1"/>
    <w:rsid w:val="009C582D"/>
    <w:rsid w:val="009D298C"/>
    <w:rsid w:val="009D750C"/>
    <w:rsid w:val="009E51B6"/>
    <w:rsid w:val="009E75AA"/>
    <w:rsid w:val="009F0653"/>
    <w:rsid w:val="009F1051"/>
    <w:rsid w:val="009F2864"/>
    <w:rsid w:val="009F52B1"/>
    <w:rsid w:val="00A04121"/>
    <w:rsid w:val="00A17A2A"/>
    <w:rsid w:val="00A17A7D"/>
    <w:rsid w:val="00A244CC"/>
    <w:rsid w:val="00A256C6"/>
    <w:rsid w:val="00A31E28"/>
    <w:rsid w:val="00A34CCE"/>
    <w:rsid w:val="00A400A4"/>
    <w:rsid w:val="00A556DC"/>
    <w:rsid w:val="00A56714"/>
    <w:rsid w:val="00A57D5E"/>
    <w:rsid w:val="00A635FB"/>
    <w:rsid w:val="00A71990"/>
    <w:rsid w:val="00A71B62"/>
    <w:rsid w:val="00A7581F"/>
    <w:rsid w:val="00A804D6"/>
    <w:rsid w:val="00A930F4"/>
    <w:rsid w:val="00A96788"/>
    <w:rsid w:val="00AA17AE"/>
    <w:rsid w:val="00AA2C41"/>
    <w:rsid w:val="00AA353D"/>
    <w:rsid w:val="00AA649A"/>
    <w:rsid w:val="00AB5608"/>
    <w:rsid w:val="00AB6B83"/>
    <w:rsid w:val="00AE7DE2"/>
    <w:rsid w:val="00AF33D4"/>
    <w:rsid w:val="00B04D21"/>
    <w:rsid w:val="00B13474"/>
    <w:rsid w:val="00B15F72"/>
    <w:rsid w:val="00B20BFB"/>
    <w:rsid w:val="00B27CE1"/>
    <w:rsid w:val="00B34F27"/>
    <w:rsid w:val="00B4595D"/>
    <w:rsid w:val="00B55E43"/>
    <w:rsid w:val="00B60998"/>
    <w:rsid w:val="00B67B3E"/>
    <w:rsid w:val="00B7313A"/>
    <w:rsid w:val="00B745DB"/>
    <w:rsid w:val="00B74C06"/>
    <w:rsid w:val="00B7699E"/>
    <w:rsid w:val="00B76E7E"/>
    <w:rsid w:val="00B83C41"/>
    <w:rsid w:val="00B84932"/>
    <w:rsid w:val="00B90A25"/>
    <w:rsid w:val="00B929FA"/>
    <w:rsid w:val="00B93E2A"/>
    <w:rsid w:val="00BA74FD"/>
    <w:rsid w:val="00BB72AA"/>
    <w:rsid w:val="00BD1C02"/>
    <w:rsid w:val="00BD2262"/>
    <w:rsid w:val="00BE06EA"/>
    <w:rsid w:val="00BF1064"/>
    <w:rsid w:val="00BF30E3"/>
    <w:rsid w:val="00BF3438"/>
    <w:rsid w:val="00C0098D"/>
    <w:rsid w:val="00C265F6"/>
    <w:rsid w:val="00C2722D"/>
    <w:rsid w:val="00C37BDF"/>
    <w:rsid w:val="00C42CA0"/>
    <w:rsid w:val="00C52EFE"/>
    <w:rsid w:val="00C554BA"/>
    <w:rsid w:val="00C60EBD"/>
    <w:rsid w:val="00C61BF8"/>
    <w:rsid w:val="00C63A24"/>
    <w:rsid w:val="00C66DCA"/>
    <w:rsid w:val="00C67B35"/>
    <w:rsid w:val="00C71E64"/>
    <w:rsid w:val="00C746BA"/>
    <w:rsid w:val="00C75240"/>
    <w:rsid w:val="00C91F96"/>
    <w:rsid w:val="00C94BEA"/>
    <w:rsid w:val="00C959A0"/>
    <w:rsid w:val="00C95BC5"/>
    <w:rsid w:val="00C961C4"/>
    <w:rsid w:val="00CA66A8"/>
    <w:rsid w:val="00CA7568"/>
    <w:rsid w:val="00CB0DB9"/>
    <w:rsid w:val="00CC039D"/>
    <w:rsid w:val="00CD2799"/>
    <w:rsid w:val="00CE220D"/>
    <w:rsid w:val="00CF2B72"/>
    <w:rsid w:val="00CF5859"/>
    <w:rsid w:val="00D00340"/>
    <w:rsid w:val="00D030C1"/>
    <w:rsid w:val="00D116C7"/>
    <w:rsid w:val="00D153C5"/>
    <w:rsid w:val="00D17880"/>
    <w:rsid w:val="00D20325"/>
    <w:rsid w:val="00D22E82"/>
    <w:rsid w:val="00D26FA8"/>
    <w:rsid w:val="00D35AD4"/>
    <w:rsid w:val="00D507B6"/>
    <w:rsid w:val="00D51EF6"/>
    <w:rsid w:val="00D72345"/>
    <w:rsid w:val="00D726D4"/>
    <w:rsid w:val="00D73307"/>
    <w:rsid w:val="00D8137B"/>
    <w:rsid w:val="00D81B40"/>
    <w:rsid w:val="00D87DB1"/>
    <w:rsid w:val="00D93151"/>
    <w:rsid w:val="00D96FB9"/>
    <w:rsid w:val="00DA791C"/>
    <w:rsid w:val="00DB78EF"/>
    <w:rsid w:val="00DC178E"/>
    <w:rsid w:val="00DE2D11"/>
    <w:rsid w:val="00E01E72"/>
    <w:rsid w:val="00E13B37"/>
    <w:rsid w:val="00E353C3"/>
    <w:rsid w:val="00E37B9B"/>
    <w:rsid w:val="00E62CBE"/>
    <w:rsid w:val="00E6470C"/>
    <w:rsid w:val="00E64B4C"/>
    <w:rsid w:val="00E651B4"/>
    <w:rsid w:val="00E72F9B"/>
    <w:rsid w:val="00E857CD"/>
    <w:rsid w:val="00EA495A"/>
    <w:rsid w:val="00EA5089"/>
    <w:rsid w:val="00EA7098"/>
    <w:rsid w:val="00EA7816"/>
    <w:rsid w:val="00EB3E09"/>
    <w:rsid w:val="00EC1539"/>
    <w:rsid w:val="00EC6653"/>
    <w:rsid w:val="00EC70A5"/>
    <w:rsid w:val="00ED31E3"/>
    <w:rsid w:val="00ED369A"/>
    <w:rsid w:val="00ED72E4"/>
    <w:rsid w:val="00F00DCF"/>
    <w:rsid w:val="00F03DE6"/>
    <w:rsid w:val="00F151B9"/>
    <w:rsid w:val="00F40595"/>
    <w:rsid w:val="00F667BB"/>
    <w:rsid w:val="00F67867"/>
    <w:rsid w:val="00F81C7C"/>
    <w:rsid w:val="00F97550"/>
    <w:rsid w:val="00FA55D2"/>
    <w:rsid w:val="00FB65EA"/>
    <w:rsid w:val="00FB6B26"/>
    <w:rsid w:val="00FC60FB"/>
    <w:rsid w:val="00FC7ED8"/>
    <w:rsid w:val="00FD0035"/>
    <w:rsid w:val="00FD4D7D"/>
    <w:rsid w:val="00FD5E6E"/>
    <w:rsid w:val="00FD74A3"/>
    <w:rsid w:val="00FE3353"/>
    <w:rsid w:val="00FE3A8C"/>
    <w:rsid w:val="00FE50FF"/>
    <w:rsid w:val="00FE6945"/>
    <w:rsid w:val="1822233A"/>
    <w:rsid w:val="2768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qFormat="1" w:unhideWhenUsed="0" w:uiPriority="0"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0"/>
    <w:rPr>
      <w:rFonts w:ascii="Times New Roman" w:hAnsi="Times New Roman" w:eastAsia="Calibri" w:cs="Times New Roman"/>
      <w:lang w:val="pl-PL" w:eastAsia="pl-PL"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qFormat/>
    <w:uiPriority w:val="0"/>
    <w:rPr>
      <w:vertAlign w:val="superscript"/>
    </w:rPr>
  </w:style>
  <w:style w:type="character" w:styleId="5">
    <w:name w:val="annotation reference"/>
    <w:semiHidden/>
    <w:qFormat/>
    <w:uiPriority w:val="0"/>
    <w:rPr>
      <w:sz w:val="16"/>
    </w:rPr>
  </w:style>
  <w:style w:type="character" w:styleId="6">
    <w:name w:val="Hyperlink"/>
    <w:unhideWhenUsed/>
    <w:qFormat/>
    <w:uiPriority w:val="0"/>
    <w:rPr>
      <w:color w:val="0000FF"/>
      <w:u w:val="single"/>
    </w:rPr>
  </w:style>
  <w:style w:type="character" w:styleId="7">
    <w:name w:val="page number"/>
    <w:qFormat/>
    <w:uiPriority w:val="0"/>
    <w:rPr>
      <w:rFonts w:cs="Times New Roman"/>
    </w:rPr>
  </w:style>
  <w:style w:type="paragraph" w:styleId="8">
    <w:name w:val="Balloon Text"/>
    <w:basedOn w:val="1"/>
    <w:link w:val="22"/>
    <w:semiHidden/>
    <w:uiPriority w:val="0"/>
    <w:rPr>
      <w:rFonts w:ascii="Tahoma" w:hAnsi="Tahoma"/>
      <w:sz w:val="16"/>
      <w:lang w:val="zh-CN" w:eastAsia="zh-CN"/>
    </w:rPr>
  </w:style>
  <w:style w:type="paragraph" w:styleId="9">
    <w:name w:val="annotation text"/>
    <w:basedOn w:val="1"/>
    <w:link w:val="24"/>
    <w:semiHidden/>
    <w:qFormat/>
    <w:uiPriority w:val="0"/>
    <w:rPr>
      <w:lang w:val="zh-CN" w:eastAsia="zh-CN"/>
    </w:rPr>
  </w:style>
  <w:style w:type="paragraph" w:styleId="10">
    <w:name w:val="annotation subject"/>
    <w:basedOn w:val="9"/>
    <w:next w:val="9"/>
    <w:link w:val="25"/>
    <w:semiHidden/>
    <w:qFormat/>
    <w:uiPriority w:val="0"/>
    <w:rPr>
      <w:b/>
    </w:rPr>
  </w:style>
  <w:style w:type="paragraph" w:styleId="11">
    <w:name w:val="footnote text"/>
    <w:basedOn w:val="1"/>
    <w:link w:val="21"/>
    <w:semiHidden/>
    <w:qFormat/>
    <w:uiPriority w:val="0"/>
    <w:pPr>
      <w:jc w:val="both"/>
    </w:pPr>
    <w:rPr>
      <w:lang w:val="zh-CN"/>
    </w:rPr>
  </w:style>
  <w:style w:type="paragraph" w:styleId="12">
    <w:name w:val="header"/>
    <w:basedOn w:val="1"/>
    <w:link w:val="23"/>
    <w:qFormat/>
    <w:uiPriority w:val="0"/>
    <w:pPr>
      <w:tabs>
        <w:tab w:val="center" w:pos="4536"/>
        <w:tab w:val="right" w:pos="9072"/>
      </w:tabs>
    </w:pPr>
    <w:rPr>
      <w:lang w:val="zh-CN" w:eastAsia="zh-CN"/>
    </w:rPr>
  </w:style>
  <w:style w:type="paragraph" w:styleId="13">
    <w:name w:val="Body Text"/>
    <w:basedOn w:val="1"/>
    <w:link w:val="30"/>
    <w:qFormat/>
    <w:uiPriority w:val="0"/>
    <w:pPr>
      <w:spacing w:after="120"/>
    </w:pPr>
  </w:style>
  <w:style w:type="paragraph" w:styleId="14">
    <w:name w:val="toc 2"/>
    <w:basedOn w:val="1"/>
    <w:next w:val="1"/>
    <w:unhideWhenUsed/>
    <w:qFormat/>
    <w:locked/>
    <w:uiPriority w:val="39"/>
    <w:pPr>
      <w:spacing w:after="100" w:line="276" w:lineRule="auto"/>
      <w:ind w:left="220"/>
    </w:pPr>
    <w:rPr>
      <w:rFonts w:ascii="Calibri" w:hAnsi="Calibri"/>
      <w:sz w:val="22"/>
      <w:szCs w:val="22"/>
      <w:lang w:val="ru-RU" w:eastAsia="en-US"/>
    </w:rPr>
  </w:style>
  <w:style w:type="paragraph" w:styleId="15">
    <w:name w:val="Body Text Indent"/>
    <w:basedOn w:val="1"/>
    <w:link w:val="29"/>
    <w:unhideWhenUsed/>
    <w:uiPriority w:val="99"/>
    <w:pPr>
      <w:spacing w:after="120" w:line="276" w:lineRule="auto"/>
      <w:ind w:left="283"/>
    </w:pPr>
    <w:rPr>
      <w:rFonts w:ascii="Calibri" w:hAnsi="Calibri"/>
      <w:sz w:val="22"/>
      <w:szCs w:val="22"/>
      <w:lang w:val="uk-UA" w:eastAsia="en-US"/>
    </w:rPr>
  </w:style>
  <w:style w:type="paragraph" w:styleId="16">
    <w:name w:val="footer"/>
    <w:basedOn w:val="1"/>
    <w:qFormat/>
    <w:uiPriority w:val="0"/>
    <w:pPr>
      <w:tabs>
        <w:tab w:val="center" w:pos="4536"/>
        <w:tab w:val="right" w:pos="9072"/>
      </w:tabs>
    </w:pPr>
  </w:style>
  <w:style w:type="paragraph" w:styleId="17">
    <w:name w:val="Normal (Web)"/>
    <w:basedOn w:val="1"/>
    <w:uiPriority w:val="0"/>
    <w:pPr>
      <w:spacing w:before="100" w:after="100"/>
    </w:pPr>
    <w:rPr>
      <w:sz w:val="24"/>
    </w:rPr>
  </w:style>
  <w:style w:type="paragraph" w:styleId="1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val="uk-UA" w:eastAsia="uk-UA"/>
    </w:rPr>
  </w:style>
  <w:style w:type="table" w:styleId="19">
    <w:name w:val="Table Grid"/>
    <w:basedOn w:val="3"/>
    <w:qFormat/>
    <w:uiPriority w:val="0"/>
    <w:rPr>
      <w:rFonts w:eastAsia="Times New Roman"/>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Default"/>
    <w:uiPriority w:val="0"/>
    <w:pPr>
      <w:autoSpaceDE w:val="0"/>
      <w:autoSpaceDN w:val="0"/>
      <w:adjustRightInd w:val="0"/>
    </w:pPr>
    <w:rPr>
      <w:rFonts w:ascii="Verdana" w:hAnsi="Verdana" w:eastAsia="Times New Roman" w:cs="Verdana"/>
      <w:color w:val="000000"/>
      <w:sz w:val="24"/>
      <w:szCs w:val="24"/>
      <w:lang w:val="pl-PL" w:eastAsia="en-US" w:bidi="ar-SA"/>
    </w:rPr>
  </w:style>
  <w:style w:type="character" w:customStyle="1" w:styleId="21">
    <w:name w:val="Текст сноски Знак"/>
    <w:link w:val="11"/>
    <w:semiHidden/>
    <w:locked/>
    <w:uiPriority w:val="0"/>
    <w:rPr>
      <w:rFonts w:ascii="Times New Roman" w:hAnsi="Times New Roman"/>
      <w:sz w:val="20"/>
      <w:lang w:val="zh-CN" w:eastAsia="pl-PL"/>
    </w:rPr>
  </w:style>
  <w:style w:type="character" w:customStyle="1" w:styleId="22">
    <w:name w:val="Текст выноски Знак"/>
    <w:link w:val="8"/>
    <w:semiHidden/>
    <w:locked/>
    <w:uiPriority w:val="0"/>
    <w:rPr>
      <w:rFonts w:ascii="Tahoma" w:hAnsi="Tahoma"/>
      <w:sz w:val="16"/>
    </w:rPr>
  </w:style>
  <w:style w:type="character" w:customStyle="1" w:styleId="23">
    <w:name w:val="Верхний колонтитул Знак"/>
    <w:link w:val="12"/>
    <w:qFormat/>
    <w:locked/>
    <w:uiPriority w:val="0"/>
    <w:rPr>
      <w:rFonts w:ascii="Times New Roman" w:hAnsi="Times New Roman"/>
    </w:rPr>
  </w:style>
  <w:style w:type="character" w:customStyle="1" w:styleId="24">
    <w:name w:val="Текст примечания Знак"/>
    <w:link w:val="9"/>
    <w:semiHidden/>
    <w:qFormat/>
    <w:locked/>
    <w:uiPriority w:val="0"/>
    <w:rPr>
      <w:rFonts w:ascii="Times New Roman" w:hAnsi="Times New Roman"/>
    </w:rPr>
  </w:style>
  <w:style w:type="character" w:customStyle="1" w:styleId="25">
    <w:name w:val="Тема примечания Знак"/>
    <w:link w:val="10"/>
    <w:semiHidden/>
    <w:locked/>
    <w:uiPriority w:val="0"/>
    <w:rPr>
      <w:rFonts w:ascii="Times New Roman" w:hAnsi="Times New Roman"/>
      <w:b/>
    </w:rPr>
  </w:style>
  <w:style w:type="paragraph" w:customStyle="1" w:styleId="26">
    <w:name w:val="Абзац списку1"/>
    <w:basedOn w:val="1"/>
    <w:qFormat/>
    <w:uiPriority w:val="0"/>
    <w:pPr>
      <w:suppressAutoHyphens/>
      <w:ind w:left="720"/>
      <w:jc w:val="both"/>
    </w:pPr>
    <w:rPr>
      <w:sz w:val="24"/>
      <w:lang w:eastAsia="ar-SA"/>
    </w:rPr>
  </w:style>
  <w:style w:type="paragraph" w:styleId="27">
    <w:name w:val="List Paragraph"/>
    <w:basedOn w:val="1"/>
    <w:qFormat/>
    <w:uiPriority w:val="1"/>
    <w:pPr>
      <w:suppressAutoHyphens/>
      <w:spacing w:after="200" w:line="276" w:lineRule="auto"/>
      <w:ind w:left="720"/>
    </w:pPr>
    <w:rPr>
      <w:rFonts w:ascii="Calibri" w:hAnsi="Calibri" w:cs="Calibri"/>
      <w:sz w:val="22"/>
      <w:szCs w:val="22"/>
      <w:lang w:val="ru-RU" w:eastAsia="ar-SA"/>
    </w:rPr>
  </w:style>
  <w:style w:type="character" w:customStyle="1" w:styleId="28">
    <w:name w:val="Основной текст (163) + Lucida Sans Unicode9"/>
    <w:uiPriority w:val="0"/>
    <w:rPr>
      <w:rFonts w:hint="default" w:ascii="Lucida Sans Unicode" w:hAnsi="Lucida Sans Unicode" w:cs="Lucida Sans Unicode"/>
      <w:i/>
      <w:iCs/>
      <w:spacing w:val="-20"/>
      <w:sz w:val="23"/>
      <w:szCs w:val="23"/>
      <w:u w:val="none"/>
    </w:rPr>
  </w:style>
  <w:style w:type="character" w:customStyle="1" w:styleId="29">
    <w:name w:val="Основной текст с отступом Знак"/>
    <w:link w:val="15"/>
    <w:uiPriority w:val="99"/>
    <w:rPr>
      <w:rFonts w:ascii="Calibri" w:hAnsi="Calibri" w:eastAsia="Calibri" w:cs="Times New Roman"/>
      <w:sz w:val="22"/>
      <w:szCs w:val="22"/>
      <w:lang w:val="uk-UA"/>
    </w:rPr>
  </w:style>
  <w:style w:type="character" w:customStyle="1" w:styleId="30">
    <w:name w:val="Основной текст Знак"/>
    <w:link w:val="13"/>
    <w:uiPriority w:val="0"/>
    <w:rPr>
      <w:rFonts w:ascii="Times New Roman" w:hAnsi="Times New Roman"/>
      <w:lang w:val="pl-PL" w:eastAsia="pl-PL"/>
    </w:rPr>
  </w:style>
  <w:style w:type="paragraph" w:customStyle="1" w:styleId="31">
    <w:name w:val="Revision"/>
    <w:hidden/>
    <w:semiHidden/>
    <w:qFormat/>
    <w:uiPriority w:val="99"/>
    <w:rPr>
      <w:rFonts w:ascii="Times New Roman" w:hAnsi="Times New Roman" w:eastAsia="Calibri" w:cs="Times New Roman"/>
      <w:lang w:val="pl-PL" w:eastAsia="pl-PL"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937D9-5111-43D7-9F3D-5C7ABBD5324D}">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6</Pages>
  <Words>1565</Words>
  <Characters>12003</Characters>
  <Lines>100</Lines>
  <Paragraphs>27</Paragraphs>
  <TotalTime>2</TotalTime>
  <ScaleCrop>false</ScaleCrop>
  <LinksUpToDate>false</LinksUpToDate>
  <CharactersWithSpaces>13541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2022-11-01T13:25:00Z</dcterms:created>
  <dc:creator>Iryna Bezklubenko</dc:creator>
  <cp:lastModifiedBy>user</cp:lastModifiedBy>
  <cp:lastPrinted>2013-09-27T07:08:00Z</cp:lastPrinted>
  <dcterms:modified xsi:type="dcterms:W3CDTF">2024-02-06T12:01:55Z</dcterms:modified>
  <dc:title>Z1-PU7</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67987201B6F6483FAF6E637C1CCF0D4E</vt:lpwstr>
  </property>
</Properties>
</file>